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44EB0" w14:textId="77777777" w:rsidR="002D7D61" w:rsidRDefault="00BA7F7A">
      <w:pPr>
        <w:pStyle w:val="BodyText"/>
        <w:tabs>
          <w:tab w:val="left" w:pos="8475"/>
        </w:tabs>
        <w:spacing w:after="240"/>
        <w:jc w:val="center"/>
        <w:rPr>
          <w:rFonts w:ascii="Georgia" w:hAnsi="Georgia"/>
          <w:b/>
          <w:sz w:val="32"/>
          <w:szCs w:val="32"/>
          <w:u w:val="single"/>
        </w:rPr>
      </w:pPr>
      <w:r>
        <w:rPr>
          <w:rFonts w:ascii="Georgia" w:hAnsi="Georgia"/>
          <w:b/>
          <w:sz w:val="32"/>
          <w:szCs w:val="32"/>
          <w:u w:val="single"/>
        </w:rPr>
        <w:t>Hanifa’s Farm - KS 1758 Audit Proposed Corrective Actions.</w:t>
      </w:r>
    </w:p>
    <w:p w14:paraId="414BB757" w14:textId="77777777" w:rsidR="002D7D61" w:rsidRDefault="00BA7F7A">
      <w:pPr>
        <w:pStyle w:val="BodyText"/>
        <w:tabs>
          <w:tab w:val="left" w:pos="8475"/>
        </w:tabs>
        <w:spacing w:after="240"/>
        <w:rPr>
          <w:rFonts w:ascii="Georgia" w:hAnsi="Georgia"/>
          <w:b/>
        </w:rPr>
      </w:pPr>
      <w:r>
        <w:rPr>
          <w:rFonts w:ascii="Georgia" w:hAnsi="Georgia"/>
        </w:rPr>
        <w:t xml:space="preserve">Based on the company’s procedure for handling non-compliance, Hanifa’s Farm is committed to </w:t>
      </w:r>
      <w:r>
        <w:rPr>
          <w:rFonts w:ascii="Georgia" w:eastAsia="Times New Roman" w:hAnsi="Georgia" w:cs="Times New Roman"/>
        </w:rPr>
        <w:t>ensure adequate and effective management of correcting failures identified during the audit.</w:t>
      </w:r>
      <w:r>
        <w:rPr>
          <w:rFonts w:ascii="Georgia" w:eastAsia="Times New Roman" w:hAnsi="Georgia" w:cs="Times New Roman"/>
        </w:rPr>
        <w:t xml:space="preserve"> We are committed to having an efficient system and continuous improvement as we comply with the KS1758 COP. The following are proposed corrective actions for each non-compliance identified. </w:t>
      </w:r>
    </w:p>
    <w:tbl>
      <w:tblPr>
        <w:tblW w:w="1549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9"/>
        <w:gridCol w:w="4309"/>
        <w:gridCol w:w="2906"/>
        <w:gridCol w:w="3607"/>
        <w:gridCol w:w="3607"/>
      </w:tblGrid>
      <w:tr w:rsidR="002D7D61" w14:paraId="17B7197D" w14:textId="77777777">
        <w:trPr>
          <w:trHeight w:val="402"/>
        </w:trPr>
        <w:tc>
          <w:tcPr>
            <w:tcW w:w="1069" w:type="dxa"/>
          </w:tcPr>
          <w:p w14:paraId="10C552C2" w14:textId="77777777" w:rsidR="002D7D61" w:rsidRDefault="00BA7F7A">
            <w:pPr>
              <w:pStyle w:val="TableParagraph"/>
              <w:spacing w:line="240" w:lineRule="auto"/>
              <w:ind w:left="0" w:right="99"/>
              <w:jc w:val="center"/>
              <w:rPr>
                <w:rFonts w:ascii="Georgia" w:hAnsi="Georgia" w:cs="Times New Roman"/>
                <w:b/>
              </w:rPr>
            </w:pPr>
            <w:r>
              <w:rPr>
                <w:rFonts w:ascii="Georgia" w:hAnsi="Georgia" w:cs="Times New Roman"/>
                <w:b/>
              </w:rPr>
              <w:t>CLAUSE</w:t>
            </w:r>
          </w:p>
        </w:tc>
        <w:tc>
          <w:tcPr>
            <w:tcW w:w="4309" w:type="dxa"/>
          </w:tcPr>
          <w:p w14:paraId="7D04A142" w14:textId="77777777" w:rsidR="002D7D61" w:rsidRDefault="00BA7F7A">
            <w:pPr>
              <w:pStyle w:val="TableParagraph"/>
              <w:spacing w:line="240" w:lineRule="auto"/>
              <w:ind w:right="1163"/>
              <w:jc w:val="center"/>
              <w:rPr>
                <w:rFonts w:ascii="Georgia" w:hAnsi="Georgia" w:cs="Times New Roman"/>
                <w:b/>
              </w:rPr>
            </w:pPr>
            <w:r>
              <w:rPr>
                <w:rFonts w:ascii="Georgia" w:hAnsi="Georgia" w:cs="Times New Roman"/>
                <w:b/>
              </w:rPr>
              <w:t>CORRECTIVE</w:t>
            </w:r>
            <w:r>
              <w:rPr>
                <w:rFonts w:ascii="Georgia" w:hAnsi="Georgia" w:cs="Times New Roman"/>
                <w:b/>
                <w:spacing w:val="34"/>
              </w:rPr>
              <w:t xml:space="preserve"> </w:t>
            </w:r>
            <w:r>
              <w:rPr>
                <w:rFonts w:ascii="Georgia" w:hAnsi="Georgia" w:cs="Times New Roman"/>
                <w:b/>
              </w:rPr>
              <w:t>ACTION</w:t>
            </w:r>
            <w:r>
              <w:rPr>
                <w:rFonts w:ascii="Georgia" w:hAnsi="Georgia" w:cs="Times New Roman"/>
                <w:b/>
                <w:spacing w:val="34"/>
              </w:rPr>
              <w:t xml:space="preserve"> </w:t>
            </w:r>
            <w:r>
              <w:rPr>
                <w:rFonts w:ascii="Georgia" w:hAnsi="Georgia" w:cs="Times New Roman"/>
                <w:b/>
              </w:rPr>
              <w:t>REQUEST</w:t>
            </w:r>
          </w:p>
        </w:tc>
        <w:tc>
          <w:tcPr>
            <w:tcW w:w="2906" w:type="dxa"/>
          </w:tcPr>
          <w:p w14:paraId="35AB5770" w14:textId="77777777" w:rsidR="002D7D61" w:rsidRDefault="00BA7F7A">
            <w:pPr>
              <w:pStyle w:val="TableParagraph"/>
              <w:spacing w:line="240" w:lineRule="auto"/>
              <w:ind w:right="425"/>
              <w:rPr>
                <w:rFonts w:ascii="Georgia" w:hAnsi="Georgia" w:cs="Times New Roman"/>
                <w:b/>
              </w:rPr>
            </w:pPr>
            <w:r>
              <w:rPr>
                <w:rFonts w:ascii="Georgia" w:hAnsi="Georgia" w:cs="Times New Roman"/>
                <w:b/>
              </w:rPr>
              <w:t>ROOT CAUSE ANALYSIS</w:t>
            </w:r>
          </w:p>
        </w:tc>
        <w:tc>
          <w:tcPr>
            <w:tcW w:w="3607" w:type="dxa"/>
          </w:tcPr>
          <w:p w14:paraId="09464446" w14:textId="77777777" w:rsidR="002D7D61" w:rsidRDefault="00BA7F7A">
            <w:pPr>
              <w:pStyle w:val="TableParagraph"/>
              <w:spacing w:line="240" w:lineRule="auto"/>
              <w:ind w:right="425"/>
              <w:jc w:val="center"/>
              <w:rPr>
                <w:rFonts w:ascii="Georgia" w:hAnsi="Georgia" w:cs="Times New Roman"/>
                <w:b/>
              </w:rPr>
            </w:pPr>
            <w:r>
              <w:rPr>
                <w:rFonts w:ascii="Georgia" w:hAnsi="Georgia" w:cs="Times New Roman"/>
                <w:b/>
              </w:rPr>
              <w:t>PROPOSED CO</w:t>
            </w:r>
            <w:r>
              <w:rPr>
                <w:rFonts w:ascii="Georgia" w:hAnsi="Georgia" w:cs="Times New Roman"/>
                <w:b/>
              </w:rPr>
              <w:t>RRECTIVE ACTION</w:t>
            </w:r>
          </w:p>
        </w:tc>
        <w:tc>
          <w:tcPr>
            <w:tcW w:w="3607" w:type="dxa"/>
          </w:tcPr>
          <w:p w14:paraId="67B5EA13" w14:textId="77777777" w:rsidR="002D7D61" w:rsidRDefault="00BA7F7A">
            <w:pPr>
              <w:pStyle w:val="TableParagraph"/>
              <w:spacing w:line="240" w:lineRule="auto"/>
              <w:ind w:right="425"/>
              <w:jc w:val="center"/>
              <w:rPr>
                <w:rFonts w:ascii="Georgia" w:hAnsi="Georgia" w:cs="Times New Roman"/>
                <w:b/>
              </w:rPr>
            </w:pPr>
            <w:r>
              <w:rPr>
                <w:rFonts w:ascii="Georgia" w:hAnsi="Georgia" w:cs="Times New Roman"/>
                <w:b/>
              </w:rPr>
              <w:t>CORRECTIVE EVIDENCES</w:t>
            </w:r>
          </w:p>
          <w:p w14:paraId="48E1C108" w14:textId="77777777" w:rsidR="002D7D61" w:rsidRDefault="002D7D61">
            <w:pPr>
              <w:pStyle w:val="TableParagraph"/>
              <w:spacing w:line="240" w:lineRule="auto"/>
              <w:ind w:right="425"/>
              <w:jc w:val="center"/>
              <w:rPr>
                <w:rFonts w:ascii="Georgia" w:hAnsi="Georgia" w:cs="Times New Roman"/>
                <w:b/>
              </w:rPr>
            </w:pPr>
          </w:p>
        </w:tc>
      </w:tr>
      <w:tr w:rsidR="002D7D61" w14:paraId="5E4B2A1F" w14:textId="77777777">
        <w:trPr>
          <w:trHeight w:val="343"/>
        </w:trPr>
        <w:tc>
          <w:tcPr>
            <w:tcW w:w="1069" w:type="dxa"/>
            <w:shd w:val="clear" w:color="auto" w:fill="DFDFDF"/>
          </w:tcPr>
          <w:p w14:paraId="6659921F" w14:textId="77777777" w:rsidR="002D7D61" w:rsidRDefault="002D7D61">
            <w:pPr>
              <w:pStyle w:val="TableParagraph"/>
              <w:spacing w:line="240" w:lineRule="auto"/>
              <w:ind w:left="0"/>
              <w:jc w:val="center"/>
              <w:rPr>
                <w:rFonts w:ascii="Georgia" w:hAnsi="Georgia" w:cs="Times New Roman"/>
              </w:rPr>
            </w:pPr>
          </w:p>
        </w:tc>
        <w:tc>
          <w:tcPr>
            <w:tcW w:w="4309" w:type="dxa"/>
            <w:shd w:val="clear" w:color="auto" w:fill="DFDFDF"/>
          </w:tcPr>
          <w:p w14:paraId="15479491" w14:textId="77777777" w:rsidR="002D7D61" w:rsidRDefault="002D7D61">
            <w:pPr>
              <w:pStyle w:val="TableParagraph"/>
              <w:spacing w:line="240" w:lineRule="auto"/>
              <w:ind w:right="661"/>
              <w:rPr>
                <w:rFonts w:ascii="Georgia" w:hAnsi="Georgia" w:cs="Times New Roman"/>
                <w:b/>
              </w:rPr>
            </w:pPr>
          </w:p>
        </w:tc>
        <w:tc>
          <w:tcPr>
            <w:tcW w:w="2906" w:type="dxa"/>
            <w:shd w:val="clear" w:color="auto" w:fill="DFDFDF"/>
          </w:tcPr>
          <w:p w14:paraId="761B4854" w14:textId="77777777" w:rsidR="002D7D61" w:rsidRDefault="002D7D61">
            <w:pPr>
              <w:pStyle w:val="TableParagraph"/>
              <w:spacing w:line="240" w:lineRule="auto"/>
              <w:ind w:left="1166" w:right="661"/>
              <w:rPr>
                <w:rFonts w:ascii="Georgia" w:hAnsi="Georgia" w:cs="Times New Roman"/>
                <w:b/>
              </w:rPr>
            </w:pPr>
          </w:p>
        </w:tc>
        <w:tc>
          <w:tcPr>
            <w:tcW w:w="3607" w:type="dxa"/>
            <w:shd w:val="clear" w:color="auto" w:fill="DFDFDF"/>
          </w:tcPr>
          <w:p w14:paraId="0FB2AD90" w14:textId="77777777" w:rsidR="002D7D61" w:rsidRDefault="002D7D61">
            <w:pPr>
              <w:pStyle w:val="TableParagraph"/>
              <w:spacing w:line="240" w:lineRule="auto"/>
              <w:ind w:left="1166" w:right="661"/>
              <w:jc w:val="center"/>
              <w:rPr>
                <w:rFonts w:ascii="Georgia" w:hAnsi="Georgia" w:cs="Times New Roman"/>
                <w:b/>
              </w:rPr>
            </w:pPr>
          </w:p>
        </w:tc>
        <w:tc>
          <w:tcPr>
            <w:tcW w:w="3607" w:type="dxa"/>
            <w:shd w:val="clear" w:color="auto" w:fill="DFDFDF"/>
          </w:tcPr>
          <w:p w14:paraId="54B92848" w14:textId="77777777" w:rsidR="002D7D61" w:rsidRDefault="002D7D61">
            <w:pPr>
              <w:pStyle w:val="TableParagraph"/>
              <w:spacing w:line="240" w:lineRule="auto"/>
              <w:ind w:left="1166" w:right="661"/>
              <w:jc w:val="center"/>
              <w:rPr>
                <w:rFonts w:ascii="Georgia" w:hAnsi="Georgia" w:cs="Times New Roman"/>
                <w:b/>
              </w:rPr>
            </w:pPr>
          </w:p>
        </w:tc>
      </w:tr>
      <w:tr w:rsidR="002D7D61" w14:paraId="4AA6973F" w14:textId="77777777">
        <w:trPr>
          <w:trHeight w:val="642"/>
        </w:trPr>
        <w:tc>
          <w:tcPr>
            <w:tcW w:w="1069" w:type="dxa"/>
          </w:tcPr>
          <w:p w14:paraId="049BCA8C" w14:textId="77777777" w:rsidR="002D7D61" w:rsidRDefault="00BA7F7A">
            <w:pPr>
              <w:pStyle w:val="TableParagraph"/>
              <w:spacing w:line="240" w:lineRule="auto"/>
              <w:ind w:left="0" w:right="94"/>
              <w:jc w:val="center"/>
              <w:rPr>
                <w:rFonts w:ascii="Georgia" w:hAnsi="Georgia" w:cs="Times New Roman"/>
              </w:rPr>
            </w:pPr>
            <w:r>
              <w:t>12.3.6.10A</w:t>
            </w:r>
          </w:p>
        </w:tc>
        <w:tc>
          <w:tcPr>
            <w:tcW w:w="4309" w:type="dxa"/>
          </w:tcPr>
          <w:p w14:paraId="67B603D2" w14:textId="77777777" w:rsidR="002D7D61" w:rsidRDefault="00BA7F7A">
            <w:pPr>
              <w:pStyle w:val="TableParagraph"/>
              <w:spacing w:line="240" w:lineRule="auto"/>
              <w:rPr>
                <w:rFonts w:ascii="Georgia" w:hAnsi="Georgia" w:cs="Times New Roman"/>
              </w:rPr>
            </w:pPr>
            <w:r>
              <w:t>Stores are equipped with adequate and appropriate firefighting equipment, these equipment were found overdue for service.</w:t>
            </w:r>
          </w:p>
        </w:tc>
        <w:tc>
          <w:tcPr>
            <w:tcW w:w="2906" w:type="dxa"/>
            <w:vAlign w:val="center"/>
          </w:tcPr>
          <w:p w14:paraId="4CBD7A83" w14:textId="77777777" w:rsidR="002D7D61" w:rsidRDefault="00BA7F7A">
            <w:pPr>
              <w:pStyle w:val="TableParagraph"/>
              <w:spacing w:line="240" w:lineRule="auto"/>
              <w:rPr>
                <w:rFonts w:ascii="Georgia" w:hAnsi="Georgia" w:cs="Times New Roman"/>
              </w:rPr>
            </w:pPr>
            <w:r>
              <w:rPr>
                <w:rFonts w:hAnsi="Georgia" w:cs="Times New Roman"/>
              </w:rPr>
              <w:t xml:space="preserve">Fire fighting equipment  were found overdue for service at the time  of </w:t>
            </w:r>
            <w:r>
              <w:rPr>
                <w:rFonts w:hAnsi="Georgia" w:cs="Times New Roman"/>
              </w:rPr>
              <w:t>audit.</w:t>
            </w:r>
          </w:p>
          <w:p w14:paraId="1C11CAA9" w14:textId="77777777" w:rsidR="002D7D61" w:rsidRDefault="002D7D61">
            <w:pPr>
              <w:pStyle w:val="TableParagraph"/>
              <w:spacing w:line="240" w:lineRule="auto"/>
              <w:rPr>
                <w:rFonts w:ascii="Georgia" w:hAnsi="Georgia" w:cs="Times New Roman"/>
              </w:rPr>
            </w:pPr>
          </w:p>
        </w:tc>
        <w:tc>
          <w:tcPr>
            <w:tcW w:w="3607" w:type="dxa"/>
            <w:vAlign w:val="center"/>
          </w:tcPr>
          <w:p w14:paraId="71986B6A" w14:textId="77777777" w:rsidR="002D7D61" w:rsidRDefault="00BA7F7A">
            <w:pPr>
              <w:pStyle w:val="TableParagraph"/>
              <w:spacing w:line="240" w:lineRule="auto"/>
              <w:rPr>
                <w:rFonts w:ascii="Georgia" w:hAnsi="Georgia" w:cs="Times New Roman"/>
                <w:i/>
              </w:rPr>
            </w:pPr>
            <w:r>
              <w:rPr>
                <w:rFonts w:hAnsi="Georgia" w:cs="Times New Roman"/>
                <w:i/>
              </w:rPr>
              <w:t>To avail the fire fighting  equipment  for service.</w:t>
            </w:r>
          </w:p>
        </w:tc>
        <w:tc>
          <w:tcPr>
            <w:tcW w:w="3607" w:type="dxa"/>
          </w:tcPr>
          <w:p w14:paraId="7F5DC048" w14:textId="77777777" w:rsidR="002D7D61" w:rsidRDefault="00BA7F7A">
            <w:pPr>
              <w:pStyle w:val="TableParagraph"/>
              <w:spacing w:line="240" w:lineRule="auto"/>
              <w:rPr>
                <w:rFonts w:ascii="Georgia" w:hAnsi="Georgia" w:cs="Times New Roman"/>
                <w:i/>
              </w:rPr>
            </w:pPr>
            <w:r>
              <w:rPr>
                <w:rFonts w:hAnsi="Georgia" w:cs="Times New Roman"/>
                <w:i/>
              </w:rPr>
              <w:t xml:space="preserve">Photos of serviced  fire fighting  equipment. </w:t>
            </w:r>
          </w:p>
        </w:tc>
      </w:tr>
      <w:tr w:rsidR="002D7D61" w14:paraId="793D491B" w14:textId="77777777">
        <w:trPr>
          <w:trHeight w:val="881"/>
        </w:trPr>
        <w:tc>
          <w:tcPr>
            <w:tcW w:w="1069" w:type="dxa"/>
          </w:tcPr>
          <w:p w14:paraId="740526EC" w14:textId="77777777" w:rsidR="002D7D61" w:rsidRDefault="00BA7F7A">
            <w:pPr>
              <w:pStyle w:val="TableParagraph"/>
              <w:spacing w:line="240" w:lineRule="auto"/>
              <w:ind w:left="0" w:right="94"/>
              <w:jc w:val="center"/>
              <w:rPr>
                <w:rFonts w:ascii="Georgia" w:hAnsi="Georgia" w:cs="Times New Roman"/>
              </w:rPr>
            </w:pPr>
            <w:r>
              <w:t>6.1A h)</w:t>
            </w:r>
          </w:p>
        </w:tc>
        <w:tc>
          <w:tcPr>
            <w:tcW w:w="4309" w:type="dxa"/>
          </w:tcPr>
          <w:p w14:paraId="04B3202D" w14:textId="77777777" w:rsidR="002D7D61" w:rsidRDefault="00BA7F7A">
            <w:pPr>
              <w:pStyle w:val="TableParagraph"/>
              <w:spacing w:line="240" w:lineRule="auto"/>
              <w:rPr>
                <w:rFonts w:ascii="Georgia" w:hAnsi="Georgia" w:cs="Times New Roman"/>
              </w:rPr>
            </w:pPr>
            <w:r>
              <w:t xml:space="preserve">Spray supervisors were provided with catridge but there was no record of filter cartridge replacement in respiratory protection equipment as required. </w:t>
            </w:r>
          </w:p>
        </w:tc>
        <w:tc>
          <w:tcPr>
            <w:tcW w:w="2906" w:type="dxa"/>
          </w:tcPr>
          <w:p w14:paraId="66E61C50" w14:textId="77777777" w:rsidR="002D7D61" w:rsidRDefault="00BA7F7A">
            <w:pPr>
              <w:pStyle w:val="TableParagraph"/>
              <w:spacing w:line="240" w:lineRule="auto"/>
              <w:rPr>
                <w:rFonts w:ascii="Georgia" w:hAnsi="Georgia" w:cs="Times New Roman"/>
              </w:rPr>
            </w:pPr>
            <w:r>
              <w:rPr>
                <w:rFonts w:hAnsi="Georgia" w:cs="Times New Roman"/>
              </w:rPr>
              <w:t>There was no filter cartridge  replacement  schedule at the time of audit.</w:t>
            </w:r>
          </w:p>
        </w:tc>
        <w:tc>
          <w:tcPr>
            <w:tcW w:w="3607" w:type="dxa"/>
            <w:vAlign w:val="center"/>
          </w:tcPr>
          <w:p w14:paraId="24D90B38" w14:textId="77777777" w:rsidR="002D7D61" w:rsidRDefault="00BA7F7A">
            <w:pPr>
              <w:pStyle w:val="TableParagraph"/>
              <w:spacing w:line="240" w:lineRule="auto"/>
              <w:ind w:left="0"/>
              <w:rPr>
                <w:rFonts w:ascii="Georgia" w:hAnsi="Georgia" w:cs="Times New Roman"/>
              </w:rPr>
            </w:pPr>
            <w:r>
              <w:rPr>
                <w:rFonts w:hAnsi="Georgia" w:cs="Times New Roman"/>
              </w:rPr>
              <w:t>To develop  a filter cartridg</w:t>
            </w:r>
            <w:r>
              <w:rPr>
                <w:rFonts w:hAnsi="Georgia" w:cs="Times New Roman"/>
              </w:rPr>
              <w:t xml:space="preserve">e replacement  schedule. </w:t>
            </w:r>
          </w:p>
        </w:tc>
        <w:tc>
          <w:tcPr>
            <w:tcW w:w="3607" w:type="dxa"/>
          </w:tcPr>
          <w:p w14:paraId="35903B3C" w14:textId="77777777" w:rsidR="002D7D61" w:rsidRDefault="00BA7F7A">
            <w:r>
              <w:t>Filter cartridge  replacement  schedule.</w:t>
            </w:r>
          </w:p>
        </w:tc>
      </w:tr>
      <w:tr w:rsidR="002D7D61" w14:paraId="472FFAA1" w14:textId="77777777">
        <w:trPr>
          <w:trHeight w:val="586"/>
        </w:trPr>
        <w:tc>
          <w:tcPr>
            <w:tcW w:w="1069" w:type="dxa"/>
          </w:tcPr>
          <w:p w14:paraId="3F2A889F" w14:textId="77777777" w:rsidR="002D7D61" w:rsidRDefault="00BA7F7A">
            <w:pPr>
              <w:pStyle w:val="TableParagraph"/>
              <w:spacing w:line="240" w:lineRule="auto"/>
              <w:ind w:left="0" w:right="94"/>
              <w:jc w:val="center"/>
              <w:rPr>
                <w:rFonts w:ascii="Georgia" w:hAnsi="Georgia" w:cs="Times New Roman"/>
              </w:rPr>
            </w:pPr>
            <w:r>
              <w:t>17.7A</w:t>
            </w:r>
          </w:p>
        </w:tc>
        <w:tc>
          <w:tcPr>
            <w:tcW w:w="4309" w:type="dxa"/>
          </w:tcPr>
          <w:p w14:paraId="5DC80052" w14:textId="77777777" w:rsidR="002D7D61" w:rsidRDefault="00BA7F7A">
            <w:pPr>
              <w:pStyle w:val="TableParagraph"/>
              <w:spacing w:line="240" w:lineRule="auto"/>
              <w:rPr>
                <w:rFonts w:ascii="Georgia" w:hAnsi="Georgia" w:cs="Times New Roman"/>
              </w:rPr>
            </w:pPr>
            <w:r>
              <w:t>The firm and its premises were clear of litter. The premises has adequate provisions for waste disposal with two disposal pits – 1 for organic and 1 for inorganic wastes. On inspection mixed storage of inorganic and organic wastes on both waste pits was no</w:t>
            </w:r>
            <w:r>
              <w:t xml:space="preserve">ted. </w:t>
            </w:r>
          </w:p>
        </w:tc>
        <w:tc>
          <w:tcPr>
            <w:tcW w:w="2906" w:type="dxa"/>
          </w:tcPr>
          <w:p w14:paraId="5CC12B58" w14:textId="77777777" w:rsidR="002D7D61" w:rsidRDefault="00BA7F7A">
            <w:pPr>
              <w:pStyle w:val="TableParagraph"/>
              <w:spacing w:line="240" w:lineRule="auto"/>
              <w:rPr>
                <w:rFonts w:ascii="Georgia" w:hAnsi="Georgia" w:cs="Times New Roman"/>
              </w:rPr>
            </w:pPr>
            <w:r>
              <w:rPr>
                <w:rFonts w:hAnsi="Georgia" w:cs="Times New Roman"/>
              </w:rPr>
              <w:t>Mixed  storage of organic  and inorganic wastes on both waste pits.</w:t>
            </w:r>
          </w:p>
        </w:tc>
        <w:tc>
          <w:tcPr>
            <w:tcW w:w="3607" w:type="dxa"/>
            <w:vAlign w:val="center"/>
          </w:tcPr>
          <w:p w14:paraId="79A8BBD6" w14:textId="77777777" w:rsidR="002D7D61" w:rsidRDefault="00BA7F7A">
            <w:pPr>
              <w:pStyle w:val="TableParagraph"/>
              <w:spacing w:line="240" w:lineRule="auto"/>
              <w:ind w:left="0"/>
              <w:rPr>
                <w:rFonts w:ascii="Georgia" w:hAnsi="Georgia" w:cs="Times New Roman"/>
                <w:i/>
              </w:rPr>
            </w:pPr>
            <w:r>
              <w:rPr>
                <w:rFonts w:hAnsi="Georgia" w:cs="Times New Roman"/>
                <w:i/>
              </w:rPr>
              <w:t>To train staff on waste disposal and pollution  management  on the farm.</w:t>
            </w:r>
          </w:p>
        </w:tc>
        <w:tc>
          <w:tcPr>
            <w:tcW w:w="3607" w:type="dxa"/>
          </w:tcPr>
          <w:p w14:paraId="593AFE05" w14:textId="77777777" w:rsidR="002D7D61" w:rsidRDefault="00BA7F7A">
            <w:r>
              <w:t xml:space="preserve">Training record on waste disposal  and pollution  management. </w:t>
            </w:r>
          </w:p>
        </w:tc>
      </w:tr>
      <w:tr w:rsidR="002D7D61" w14:paraId="2F33F465" w14:textId="77777777">
        <w:trPr>
          <w:trHeight w:val="879"/>
        </w:trPr>
        <w:tc>
          <w:tcPr>
            <w:tcW w:w="1069" w:type="dxa"/>
          </w:tcPr>
          <w:p w14:paraId="16AED326" w14:textId="77777777" w:rsidR="002D7D61" w:rsidRDefault="00BA7F7A">
            <w:pPr>
              <w:pStyle w:val="TableParagraph"/>
              <w:spacing w:line="240" w:lineRule="auto"/>
              <w:ind w:left="0" w:right="94"/>
              <w:jc w:val="center"/>
              <w:rPr>
                <w:rFonts w:ascii="Georgia" w:hAnsi="Georgia" w:cs="Times New Roman"/>
              </w:rPr>
            </w:pPr>
            <w:r>
              <w:t>12. 3.10.8A</w:t>
            </w:r>
          </w:p>
        </w:tc>
        <w:tc>
          <w:tcPr>
            <w:tcW w:w="4309" w:type="dxa"/>
          </w:tcPr>
          <w:p w14:paraId="4BE7186B" w14:textId="77777777" w:rsidR="002D7D61" w:rsidRDefault="00BA7F7A">
            <w:pPr>
              <w:pStyle w:val="TableParagraph"/>
              <w:tabs>
                <w:tab w:val="left" w:pos="4797"/>
              </w:tabs>
              <w:spacing w:line="240" w:lineRule="auto"/>
              <w:ind w:right="101"/>
              <w:rPr>
                <w:rFonts w:ascii="Georgia" w:hAnsi="Georgia" w:cs="Times New Roman"/>
              </w:rPr>
            </w:pPr>
            <w:r>
              <w:t>Spray operators - although not applying organo-phosphate and carbamate pesticides - had</w:t>
            </w:r>
            <w:r>
              <w:t xml:space="preserve"> not undergone cholinesterase testing as required.</w:t>
            </w:r>
          </w:p>
        </w:tc>
        <w:tc>
          <w:tcPr>
            <w:tcW w:w="2906" w:type="dxa"/>
          </w:tcPr>
          <w:p w14:paraId="7BA0A2E0" w14:textId="77777777" w:rsidR="002D7D61" w:rsidRDefault="00BA7F7A">
            <w:pPr>
              <w:pStyle w:val="TableParagraph"/>
              <w:tabs>
                <w:tab w:val="left" w:pos="4797"/>
              </w:tabs>
              <w:spacing w:line="240" w:lineRule="auto"/>
              <w:ind w:right="101"/>
              <w:rPr>
                <w:rFonts w:ascii="Georgia" w:hAnsi="Georgia" w:cs="Times New Roman"/>
              </w:rPr>
            </w:pPr>
            <w:r>
              <w:rPr>
                <w:rFonts w:hAnsi="Georgia" w:cs="Times New Roman"/>
              </w:rPr>
              <w:t xml:space="preserve">There were no cholinesterase  tests for Spray operators  at the time of audit. </w:t>
            </w:r>
          </w:p>
        </w:tc>
        <w:tc>
          <w:tcPr>
            <w:tcW w:w="3607" w:type="dxa"/>
            <w:vAlign w:val="center"/>
          </w:tcPr>
          <w:p w14:paraId="5C955BB1" w14:textId="77777777" w:rsidR="002D7D61" w:rsidRDefault="00BA7F7A">
            <w:pPr>
              <w:pStyle w:val="TableParagraph"/>
              <w:tabs>
                <w:tab w:val="left" w:pos="4797"/>
              </w:tabs>
              <w:spacing w:line="240" w:lineRule="auto"/>
              <w:ind w:left="0" w:right="101"/>
              <w:rPr>
                <w:rFonts w:ascii="Georgia" w:hAnsi="Georgia" w:cs="Times New Roman"/>
                <w:i/>
              </w:rPr>
            </w:pPr>
            <w:r>
              <w:rPr>
                <w:rFonts w:hAnsi="Georgia" w:cs="Times New Roman"/>
                <w:i/>
              </w:rPr>
              <w:t xml:space="preserve">To avail  Spray operators for cholinesterase  tests at a medical facility. </w:t>
            </w:r>
          </w:p>
          <w:p w14:paraId="68EB79ED" w14:textId="77777777" w:rsidR="002D7D61" w:rsidRDefault="002D7D61">
            <w:pPr>
              <w:pStyle w:val="TableParagraph"/>
              <w:tabs>
                <w:tab w:val="left" w:pos="4797"/>
              </w:tabs>
              <w:spacing w:line="240" w:lineRule="auto"/>
              <w:ind w:left="0" w:right="101"/>
              <w:rPr>
                <w:rFonts w:ascii="Georgia" w:hAnsi="Georgia" w:cs="Times New Roman"/>
                <w:i/>
              </w:rPr>
            </w:pPr>
          </w:p>
        </w:tc>
        <w:tc>
          <w:tcPr>
            <w:tcW w:w="3607" w:type="dxa"/>
          </w:tcPr>
          <w:p w14:paraId="2CB17721" w14:textId="77777777" w:rsidR="002D7D61" w:rsidRDefault="00BA7F7A">
            <w:r>
              <w:t>Payment  receipts for cholinesterase  tests.</w:t>
            </w:r>
          </w:p>
        </w:tc>
      </w:tr>
      <w:tr w:rsidR="002D7D61" w14:paraId="46F39D28" w14:textId="77777777">
        <w:trPr>
          <w:trHeight w:val="589"/>
        </w:trPr>
        <w:tc>
          <w:tcPr>
            <w:tcW w:w="1069" w:type="dxa"/>
          </w:tcPr>
          <w:p w14:paraId="7733A480" w14:textId="77777777" w:rsidR="002D7D61" w:rsidRDefault="00BA7F7A">
            <w:pPr>
              <w:pStyle w:val="TableParagraph"/>
              <w:spacing w:line="240" w:lineRule="auto"/>
              <w:ind w:left="0" w:right="94"/>
              <w:jc w:val="center"/>
              <w:rPr>
                <w:rFonts w:ascii="Georgia" w:hAnsi="Georgia" w:cs="Times New Roman"/>
              </w:rPr>
            </w:pPr>
            <w:r>
              <w:t>12.3.11.1A</w:t>
            </w:r>
          </w:p>
        </w:tc>
        <w:tc>
          <w:tcPr>
            <w:tcW w:w="4309" w:type="dxa"/>
          </w:tcPr>
          <w:p w14:paraId="133AAC3A" w14:textId="77777777" w:rsidR="002D7D61" w:rsidRDefault="00BA7F7A">
            <w:pPr>
              <w:pStyle w:val="TableParagraph"/>
              <w:spacing w:line="240" w:lineRule="auto"/>
              <w:rPr>
                <w:rFonts w:ascii="Georgia" w:hAnsi="Georgia" w:cs="Times New Roman"/>
              </w:rPr>
            </w:pPr>
            <w:r>
              <w:t xml:space="preserve">There was no evidence of trained first Aid Personnel within the premises and no record of training kept on file for review. </w:t>
            </w:r>
          </w:p>
        </w:tc>
        <w:tc>
          <w:tcPr>
            <w:tcW w:w="2906" w:type="dxa"/>
          </w:tcPr>
          <w:p w14:paraId="4CEDEBEF" w14:textId="77777777" w:rsidR="002D7D61" w:rsidRDefault="00BA7F7A">
            <w:pPr>
              <w:pStyle w:val="TableParagraph"/>
              <w:spacing w:line="240" w:lineRule="auto"/>
              <w:rPr>
                <w:rFonts w:ascii="Georgia" w:hAnsi="Georgia" w:cs="Times New Roman"/>
              </w:rPr>
            </w:pPr>
            <w:r>
              <w:rPr>
                <w:rFonts w:hAnsi="Georgia" w:cs="Times New Roman"/>
              </w:rPr>
              <w:t xml:space="preserve">There were  no trained first aiders on the farm at the time  of audit. </w:t>
            </w:r>
          </w:p>
        </w:tc>
        <w:tc>
          <w:tcPr>
            <w:tcW w:w="3607" w:type="dxa"/>
            <w:vAlign w:val="center"/>
          </w:tcPr>
          <w:p w14:paraId="5E8118DF" w14:textId="77777777" w:rsidR="002D7D61" w:rsidRDefault="00BA7F7A">
            <w:pPr>
              <w:pStyle w:val="TableParagraph"/>
              <w:spacing w:line="240" w:lineRule="auto"/>
              <w:ind w:left="0"/>
              <w:rPr>
                <w:rFonts w:ascii="Georgia" w:hAnsi="Georgia" w:cs="Times New Roman"/>
                <w:i/>
              </w:rPr>
            </w:pPr>
            <w:r>
              <w:rPr>
                <w:rFonts w:hAnsi="Georgia" w:cs="Times New Roman"/>
                <w:i/>
              </w:rPr>
              <w:t xml:space="preserve">To train staff on first Aid. </w:t>
            </w:r>
          </w:p>
        </w:tc>
        <w:tc>
          <w:tcPr>
            <w:tcW w:w="3607" w:type="dxa"/>
          </w:tcPr>
          <w:p w14:paraId="19A4162E" w14:textId="77777777" w:rsidR="002D7D61" w:rsidRDefault="00BA7F7A">
            <w:r>
              <w:t xml:space="preserve">Payment  receipts </w:t>
            </w:r>
            <w:r>
              <w:t xml:space="preserve"> for first aid training</w:t>
            </w:r>
          </w:p>
        </w:tc>
      </w:tr>
      <w:tr w:rsidR="002D7D61" w14:paraId="6F63EB30" w14:textId="77777777">
        <w:trPr>
          <w:trHeight w:val="292"/>
        </w:trPr>
        <w:tc>
          <w:tcPr>
            <w:tcW w:w="1069" w:type="dxa"/>
          </w:tcPr>
          <w:p w14:paraId="0AE0D516" w14:textId="77777777" w:rsidR="002D7D61" w:rsidRDefault="00BA7F7A">
            <w:pPr>
              <w:pStyle w:val="TableParagraph"/>
              <w:spacing w:line="240" w:lineRule="auto"/>
              <w:ind w:left="0" w:right="95"/>
              <w:jc w:val="center"/>
              <w:rPr>
                <w:rFonts w:ascii="Georgia" w:hAnsi="Georgia" w:cs="Times New Roman"/>
              </w:rPr>
            </w:pPr>
            <w:r>
              <w:t>12.3.13.1A</w:t>
            </w:r>
          </w:p>
        </w:tc>
        <w:tc>
          <w:tcPr>
            <w:tcW w:w="4309" w:type="dxa"/>
          </w:tcPr>
          <w:p w14:paraId="6E5B6064" w14:textId="77777777" w:rsidR="002D7D61" w:rsidRDefault="00BA7F7A">
            <w:pPr>
              <w:pStyle w:val="TableParagraph"/>
              <w:spacing w:line="240" w:lineRule="auto"/>
              <w:rPr>
                <w:rFonts w:ascii="Georgia" w:hAnsi="Georgia" w:cs="Times New Roman"/>
              </w:rPr>
            </w:pPr>
            <w:r>
              <w:t>Written procedures for safe disposal of dilute pesticides and empty containers were developed and approved. However,</w:t>
            </w:r>
            <w:r>
              <w:t xml:space="preserve"> the spray team was not aware on the specifics of the steps to take with regard to disposal of empty chemical containers to prevent pollution of ground water and soil from leakage or spillage.</w:t>
            </w:r>
          </w:p>
        </w:tc>
        <w:tc>
          <w:tcPr>
            <w:tcW w:w="2906" w:type="dxa"/>
          </w:tcPr>
          <w:p w14:paraId="428DCD65" w14:textId="77777777" w:rsidR="002D7D61" w:rsidRDefault="00BA7F7A">
            <w:pPr>
              <w:pStyle w:val="TableParagraph"/>
              <w:spacing w:line="240" w:lineRule="auto"/>
              <w:rPr>
                <w:rFonts w:ascii="Georgia" w:hAnsi="Georgia" w:cs="Times New Roman"/>
              </w:rPr>
            </w:pPr>
            <w:r>
              <w:rPr>
                <w:rFonts w:hAnsi="Georgia" w:cs="Times New Roman"/>
              </w:rPr>
              <w:t xml:space="preserve">The spray team was not aware on the specifics  of the steps to </w:t>
            </w:r>
            <w:r>
              <w:rPr>
                <w:rFonts w:hAnsi="Georgia" w:cs="Times New Roman"/>
              </w:rPr>
              <w:t xml:space="preserve">take with  regard to disposal of empty  chemical containers to prevent  pollution of ground  water and  soil from  leakage or spillage. </w:t>
            </w:r>
          </w:p>
        </w:tc>
        <w:tc>
          <w:tcPr>
            <w:tcW w:w="3607" w:type="dxa"/>
            <w:vAlign w:val="center"/>
          </w:tcPr>
          <w:p w14:paraId="550D7947" w14:textId="77777777" w:rsidR="002D7D61" w:rsidRDefault="00BA7F7A">
            <w:pPr>
              <w:pStyle w:val="TableParagraph"/>
              <w:spacing w:line="240" w:lineRule="auto"/>
              <w:ind w:left="0"/>
              <w:rPr>
                <w:rFonts w:ascii="Georgia" w:hAnsi="Georgia" w:cs="Times New Roman"/>
                <w:i/>
              </w:rPr>
            </w:pPr>
            <w:r>
              <w:rPr>
                <w:rFonts w:hAnsi="Georgia" w:cs="Times New Roman"/>
                <w:i/>
              </w:rPr>
              <w:t xml:space="preserve">To train  Spray  team on waste disposal and pollution management on the farm. </w:t>
            </w:r>
          </w:p>
        </w:tc>
        <w:tc>
          <w:tcPr>
            <w:tcW w:w="3607" w:type="dxa"/>
          </w:tcPr>
          <w:p w14:paraId="00F26D9E" w14:textId="77777777" w:rsidR="002D7D61" w:rsidRDefault="00BA7F7A">
            <w:r>
              <w:t>Training record on waste disposal and po</w:t>
            </w:r>
            <w:r>
              <w:t xml:space="preserve">llution management. </w:t>
            </w:r>
          </w:p>
        </w:tc>
      </w:tr>
    </w:tbl>
    <w:p w14:paraId="67427165" w14:textId="77777777" w:rsidR="002D7D61" w:rsidRDefault="002D7D61">
      <w:pPr>
        <w:pStyle w:val="BodyText"/>
        <w:rPr>
          <w:rFonts w:ascii="Georgia" w:hAnsi="Georgia"/>
          <w:b/>
        </w:rPr>
      </w:pPr>
    </w:p>
    <w:sectPr w:rsidR="002D7D61">
      <w:headerReference w:type="default" r:id="rId7"/>
      <w:footerReference w:type="default" r:id="rId8"/>
      <w:pgSz w:w="16840" w:h="11910" w:orient="landscape"/>
      <w:pgMar w:top="680" w:right="1180" w:bottom="520" w:left="980" w:header="720"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BF4DF" w14:textId="77777777" w:rsidR="00BA7F7A" w:rsidRDefault="00BA7F7A">
      <w:r>
        <w:separator/>
      </w:r>
    </w:p>
  </w:endnote>
  <w:endnote w:type="continuationSeparator" w:id="0">
    <w:p w14:paraId="71EB669A" w14:textId="77777777" w:rsidR="00BA7F7A" w:rsidRDefault="00BA7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7484C" w14:textId="77777777" w:rsidR="002D7D61" w:rsidRDefault="002D7D6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2F15E" w14:textId="77777777" w:rsidR="00BA7F7A" w:rsidRDefault="00BA7F7A">
      <w:r>
        <w:separator/>
      </w:r>
    </w:p>
  </w:footnote>
  <w:footnote w:type="continuationSeparator" w:id="0">
    <w:p w14:paraId="4EEB3031" w14:textId="77777777" w:rsidR="00BA7F7A" w:rsidRDefault="00BA7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FFFB0" w14:textId="77777777" w:rsidR="002D7D61" w:rsidRDefault="002D7D6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multiLevelType w:val="hybridMultilevel"/>
    <w:tmpl w:val="62B8C82A"/>
    <w:lvl w:ilvl="0" w:tplc="94423B1E">
      <w:start w:val="1"/>
      <w:numFmt w:val="bullet"/>
      <w:lvlText w:val=""/>
      <w:lvlJc w:val="left"/>
      <w:pPr>
        <w:ind w:left="1300" w:hanging="360"/>
      </w:pPr>
      <w:rPr>
        <w:rFonts w:ascii="Symbol" w:eastAsia="Symbol" w:hAnsi="Symbol" w:cs="Symbol" w:hint="default"/>
        <w:w w:val="100"/>
        <w:sz w:val="24"/>
        <w:szCs w:val="24"/>
        <w:lang w:val="en-US" w:eastAsia="en-US" w:bidi="ar-SA"/>
      </w:rPr>
    </w:lvl>
    <w:lvl w:ilvl="1" w:tplc="3EEC5D44">
      <w:start w:val="1"/>
      <w:numFmt w:val="bullet"/>
      <w:lvlText w:val="•"/>
      <w:lvlJc w:val="left"/>
      <w:pPr>
        <w:ind w:left="2240" w:hanging="360"/>
      </w:pPr>
      <w:rPr>
        <w:rFonts w:hint="default"/>
        <w:lang w:val="en-US" w:eastAsia="en-US" w:bidi="ar-SA"/>
      </w:rPr>
    </w:lvl>
    <w:lvl w:ilvl="2" w:tplc="64D243F4">
      <w:start w:val="1"/>
      <w:numFmt w:val="bullet"/>
      <w:lvlText w:val="•"/>
      <w:lvlJc w:val="left"/>
      <w:pPr>
        <w:ind w:left="3181" w:hanging="360"/>
      </w:pPr>
      <w:rPr>
        <w:rFonts w:hint="default"/>
        <w:lang w:val="en-US" w:eastAsia="en-US" w:bidi="ar-SA"/>
      </w:rPr>
    </w:lvl>
    <w:lvl w:ilvl="3" w:tplc="50461D8C">
      <w:start w:val="1"/>
      <w:numFmt w:val="bullet"/>
      <w:lvlText w:val="•"/>
      <w:lvlJc w:val="left"/>
      <w:pPr>
        <w:ind w:left="4121" w:hanging="360"/>
      </w:pPr>
      <w:rPr>
        <w:rFonts w:hint="default"/>
        <w:lang w:val="en-US" w:eastAsia="en-US" w:bidi="ar-SA"/>
      </w:rPr>
    </w:lvl>
    <w:lvl w:ilvl="4" w:tplc="F196AC52">
      <w:start w:val="1"/>
      <w:numFmt w:val="bullet"/>
      <w:lvlText w:val="•"/>
      <w:lvlJc w:val="left"/>
      <w:pPr>
        <w:ind w:left="5062" w:hanging="360"/>
      </w:pPr>
      <w:rPr>
        <w:rFonts w:hint="default"/>
        <w:lang w:val="en-US" w:eastAsia="en-US" w:bidi="ar-SA"/>
      </w:rPr>
    </w:lvl>
    <w:lvl w:ilvl="5" w:tplc="7B421336">
      <w:start w:val="1"/>
      <w:numFmt w:val="bullet"/>
      <w:lvlText w:val="•"/>
      <w:lvlJc w:val="left"/>
      <w:pPr>
        <w:ind w:left="6003" w:hanging="360"/>
      </w:pPr>
      <w:rPr>
        <w:rFonts w:hint="default"/>
        <w:lang w:val="en-US" w:eastAsia="en-US" w:bidi="ar-SA"/>
      </w:rPr>
    </w:lvl>
    <w:lvl w:ilvl="6" w:tplc="4B3CC082">
      <w:start w:val="1"/>
      <w:numFmt w:val="bullet"/>
      <w:lvlText w:val="•"/>
      <w:lvlJc w:val="left"/>
      <w:pPr>
        <w:ind w:left="6943" w:hanging="360"/>
      </w:pPr>
      <w:rPr>
        <w:rFonts w:hint="default"/>
        <w:lang w:val="en-US" w:eastAsia="en-US" w:bidi="ar-SA"/>
      </w:rPr>
    </w:lvl>
    <w:lvl w:ilvl="7" w:tplc="E81C2584">
      <w:start w:val="1"/>
      <w:numFmt w:val="bullet"/>
      <w:lvlText w:val="•"/>
      <w:lvlJc w:val="left"/>
      <w:pPr>
        <w:ind w:left="7884" w:hanging="360"/>
      </w:pPr>
      <w:rPr>
        <w:rFonts w:hint="default"/>
        <w:lang w:val="en-US" w:eastAsia="en-US" w:bidi="ar-SA"/>
      </w:rPr>
    </w:lvl>
    <w:lvl w:ilvl="8" w:tplc="A4303772">
      <w:start w:val="1"/>
      <w:numFmt w:val="bullet"/>
      <w:lvlText w:val="•"/>
      <w:lvlJc w:val="left"/>
      <w:pPr>
        <w:ind w:left="8825" w:hanging="360"/>
      </w:pPr>
      <w:rPr>
        <w:rFonts w:hint="default"/>
        <w:lang w:val="en-US" w:eastAsia="en-US" w:bidi="ar-SA"/>
      </w:rPr>
    </w:lvl>
  </w:abstractNum>
  <w:abstractNum w:abstractNumId="1" w15:restartNumberingAfterBreak="0">
    <w:nsid w:val="00000001"/>
    <w:multiLevelType w:val="hybridMultilevel"/>
    <w:tmpl w:val="C31C861C"/>
    <w:lvl w:ilvl="0" w:tplc="453C67F2">
      <w:start w:val="1"/>
      <w:numFmt w:val="bullet"/>
      <w:lvlText w:val=""/>
      <w:lvlJc w:val="left"/>
      <w:pPr>
        <w:ind w:left="827" w:hanging="360"/>
      </w:pPr>
      <w:rPr>
        <w:rFonts w:ascii="Symbol" w:eastAsia="Symbol" w:hAnsi="Symbol" w:cs="Symbol" w:hint="default"/>
        <w:w w:val="100"/>
        <w:sz w:val="24"/>
        <w:szCs w:val="24"/>
        <w:lang w:val="en-US" w:eastAsia="en-US" w:bidi="ar-SA"/>
      </w:rPr>
    </w:lvl>
    <w:lvl w:ilvl="1" w:tplc="311668EA">
      <w:start w:val="1"/>
      <w:numFmt w:val="bullet"/>
      <w:lvlText w:val="•"/>
      <w:lvlJc w:val="left"/>
      <w:pPr>
        <w:ind w:left="1617" w:hanging="360"/>
      </w:pPr>
      <w:rPr>
        <w:rFonts w:hint="default"/>
        <w:lang w:val="en-US" w:eastAsia="en-US" w:bidi="ar-SA"/>
      </w:rPr>
    </w:lvl>
    <w:lvl w:ilvl="2" w:tplc="536E0BCE">
      <w:start w:val="1"/>
      <w:numFmt w:val="bullet"/>
      <w:lvlText w:val="•"/>
      <w:lvlJc w:val="left"/>
      <w:pPr>
        <w:ind w:left="2415" w:hanging="360"/>
      </w:pPr>
      <w:rPr>
        <w:rFonts w:hint="default"/>
        <w:lang w:val="en-US" w:eastAsia="en-US" w:bidi="ar-SA"/>
      </w:rPr>
    </w:lvl>
    <w:lvl w:ilvl="3" w:tplc="2872FE9E">
      <w:start w:val="1"/>
      <w:numFmt w:val="bullet"/>
      <w:lvlText w:val="•"/>
      <w:lvlJc w:val="left"/>
      <w:pPr>
        <w:ind w:left="3213" w:hanging="360"/>
      </w:pPr>
      <w:rPr>
        <w:rFonts w:hint="default"/>
        <w:lang w:val="en-US" w:eastAsia="en-US" w:bidi="ar-SA"/>
      </w:rPr>
    </w:lvl>
    <w:lvl w:ilvl="4" w:tplc="8BBC0E6C">
      <w:start w:val="1"/>
      <w:numFmt w:val="bullet"/>
      <w:lvlText w:val="•"/>
      <w:lvlJc w:val="left"/>
      <w:pPr>
        <w:ind w:left="4010" w:hanging="360"/>
      </w:pPr>
      <w:rPr>
        <w:rFonts w:hint="default"/>
        <w:lang w:val="en-US" w:eastAsia="en-US" w:bidi="ar-SA"/>
      </w:rPr>
    </w:lvl>
    <w:lvl w:ilvl="5" w:tplc="7FFAFDBE">
      <w:start w:val="1"/>
      <w:numFmt w:val="bullet"/>
      <w:lvlText w:val="•"/>
      <w:lvlJc w:val="left"/>
      <w:pPr>
        <w:ind w:left="4808" w:hanging="360"/>
      </w:pPr>
      <w:rPr>
        <w:rFonts w:hint="default"/>
        <w:lang w:val="en-US" w:eastAsia="en-US" w:bidi="ar-SA"/>
      </w:rPr>
    </w:lvl>
    <w:lvl w:ilvl="6" w:tplc="2EEEE3E0">
      <w:start w:val="1"/>
      <w:numFmt w:val="bullet"/>
      <w:lvlText w:val="•"/>
      <w:lvlJc w:val="left"/>
      <w:pPr>
        <w:ind w:left="5606" w:hanging="360"/>
      </w:pPr>
      <w:rPr>
        <w:rFonts w:hint="default"/>
        <w:lang w:val="en-US" w:eastAsia="en-US" w:bidi="ar-SA"/>
      </w:rPr>
    </w:lvl>
    <w:lvl w:ilvl="7" w:tplc="A6E2C70A">
      <w:start w:val="1"/>
      <w:numFmt w:val="bullet"/>
      <w:lvlText w:val="•"/>
      <w:lvlJc w:val="left"/>
      <w:pPr>
        <w:ind w:left="6403" w:hanging="360"/>
      </w:pPr>
      <w:rPr>
        <w:rFonts w:hint="default"/>
        <w:lang w:val="en-US" w:eastAsia="en-US" w:bidi="ar-SA"/>
      </w:rPr>
    </w:lvl>
    <w:lvl w:ilvl="8" w:tplc="620E360E">
      <w:start w:val="1"/>
      <w:numFmt w:val="bullet"/>
      <w:lvlText w:val="•"/>
      <w:lvlJc w:val="left"/>
      <w:pPr>
        <w:ind w:left="7201"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D61"/>
    <w:rsid w:val="002D7D61"/>
    <w:rsid w:val="00BA7F7A"/>
    <w:rsid w:val="00C83E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FC22"/>
  <w15:docId w15:val="{23C8CF4A-F3D4-42D6-9AB6-9EAD7180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Calibri"/>
    </w:rPr>
  </w:style>
  <w:style w:type="paragraph" w:styleId="Heading1">
    <w:name w:val="heading 1"/>
    <w:basedOn w:val="Normal"/>
    <w:uiPriority w:val="9"/>
    <w:qFormat/>
    <w:pPr>
      <w:ind w:left="83"/>
      <w:outlineLvl w:val="0"/>
    </w:pPr>
    <w:rPr>
      <w:b/>
      <w:bCs/>
      <w:sz w:val="26"/>
      <w:szCs w:val="2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300" w:hanging="361"/>
    </w:pPr>
  </w:style>
  <w:style w:type="paragraph" w:customStyle="1" w:styleId="TableParagraph">
    <w:name w:val="Table Paragraph"/>
    <w:basedOn w:val="Normal"/>
    <w:uiPriority w:val="1"/>
    <w:qFormat/>
    <w:pPr>
      <w:spacing w:line="292"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KFC Silver Recertification Audit</dc:title>
  <dc:creator>Loise Mwangi</dc:creator>
  <cp:lastModifiedBy>Tony MULWA</cp:lastModifiedBy>
  <cp:revision>2</cp:revision>
  <dcterms:created xsi:type="dcterms:W3CDTF">2022-08-16T10:01:00Z</dcterms:created>
  <dcterms:modified xsi:type="dcterms:W3CDTF">2022-08-16T10:01:00Z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2021-05-25T00:00:00Z</vt:filetime>
  </property>
  <property fmtid="{D5CDD505-2E9C-101B-9397-08002B2CF9AE}" pid="3" name="Creator">
    <vt:lpwstr>Microsoft® Word 2013</vt:lpwstr>
  </property>
  <property fmtid="{D5CDD505-2E9C-101B-9397-08002B2CF9AE}" pid="4" name="LastSaved">
    <vt:filetime>2021-05-26T00:00:00Z</vt:filetime>
  </property>
  <property fmtid="{D5CDD505-2E9C-101B-9397-08002B2CF9AE}" pid="5" name="ICV">
    <vt:lpwstr>aa57ea1662b5439ab26a61d8deaf91eb</vt:lpwstr>
  </property>
</Properties>
</file>