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720A" w14:textId="6D8BB072" w:rsidR="00E87ADD" w:rsidRPr="007002E7" w:rsidRDefault="007002E7" w:rsidP="0002063C">
      <w:pPr>
        <w:pStyle w:val="BodyText"/>
        <w:tabs>
          <w:tab w:val="left" w:pos="8475"/>
        </w:tabs>
        <w:spacing w:after="240"/>
        <w:jc w:val="center"/>
        <w:rPr>
          <w:rFonts w:ascii="Georgia" w:hAnsi="Georgia"/>
          <w:b/>
          <w:sz w:val="32"/>
          <w:szCs w:val="32"/>
          <w:u w:val="single"/>
        </w:rPr>
      </w:pPr>
      <w:r w:rsidRPr="007002E7">
        <w:rPr>
          <w:rFonts w:ascii="Georgia" w:hAnsi="Georgia"/>
          <w:b/>
          <w:sz w:val="32"/>
          <w:szCs w:val="32"/>
          <w:u w:val="single"/>
        </w:rPr>
        <w:t xml:space="preserve">NDIGI GREENFIELDS CBO </w:t>
      </w:r>
      <w:r w:rsidR="00E87ADD" w:rsidRPr="007002E7">
        <w:rPr>
          <w:rFonts w:ascii="Georgia" w:hAnsi="Georgia"/>
          <w:b/>
          <w:sz w:val="32"/>
          <w:szCs w:val="32"/>
          <w:u w:val="single"/>
        </w:rPr>
        <w:t>-</w:t>
      </w:r>
      <w:r w:rsidR="001320D9" w:rsidRPr="007002E7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7002E7">
        <w:rPr>
          <w:rFonts w:ascii="Georgia" w:hAnsi="Georgia"/>
          <w:b/>
          <w:sz w:val="32"/>
          <w:szCs w:val="32"/>
          <w:u w:val="single"/>
        </w:rPr>
        <w:t>KS 1758 A</w:t>
      </w:r>
      <w:r w:rsidR="007F2109">
        <w:rPr>
          <w:rFonts w:ascii="Georgia" w:hAnsi="Georgia"/>
          <w:b/>
          <w:sz w:val="32"/>
          <w:szCs w:val="32"/>
          <w:u w:val="single"/>
        </w:rPr>
        <w:t>0</w:t>
      </w:r>
      <w:r w:rsidR="00E87ADD" w:rsidRPr="007002E7">
        <w:rPr>
          <w:rFonts w:ascii="Georgia" w:hAnsi="Georgia"/>
          <w:b/>
          <w:sz w:val="32"/>
          <w:szCs w:val="32"/>
          <w:u w:val="single"/>
        </w:rPr>
        <w:t>udit Proposed Corrective Actions.</w:t>
      </w:r>
    </w:p>
    <w:p w14:paraId="2430B7C9" w14:textId="16A9B20B" w:rsidR="00A72E0B" w:rsidRPr="00495462" w:rsidRDefault="00E87ADD" w:rsidP="0002063C">
      <w:pPr>
        <w:pStyle w:val="BodyText"/>
        <w:tabs>
          <w:tab w:val="left" w:pos="8475"/>
        </w:tabs>
        <w:spacing w:after="240"/>
        <w:rPr>
          <w:rFonts w:asciiTheme="minorHAnsi" w:hAnsiTheme="minorHAnsi" w:cstheme="minorHAnsi"/>
          <w:bCs/>
          <w:sz w:val="22"/>
          <w:szCs w:val="22"/>
        </w:rPr>
      </w:pPr>
      <w:r w:rsidRPr="00495462">
        <w:rPr>
          <w:rFonts w:asciiTheme="minorHAnsi" w:hAnsiTheme="minorHAnsi" w:cstheme="minorHAnsi"/>
          <w:bCs/>
          <w:sz w:val="22"/>
          <w:szCs w:val="22"/>
        </w:rPr>
        <w:t xml:space="preserve">Based on the </w:t>
      </w:r>
      <w:r w:rsidR="000F254F" w:rsidRPr="00495462">
        <w:rPr>
          <w:rFonts w:asciiTheme="minorHAnsi" w:hAnsiTheme="minorHAnsi" w:cstheme="minorHAnsi"/>
          <w:bCs/>
          <w:sz w:val="22"/>
          <w:szCs w:val="22"/>
        </w:rPr>
        <w:t>Organization’s</w:t>
      </w:r>
      <w:r w:rsidR="00691841" w:rsidRPr="00495462">
        <w:rPr>
          <w:rFonts w:asciiTheme="minorHAnsi" w:hAnsiTheme="minorHAnsi" w:cstheme="minorHAnsi"/>
          <w:bCs/>
          <w:sz w:val="22"/>
          <w:szCs w:val="22"/>
        </w:rPr>
        <w:t xml:space="preserve"> procedure for handling non-compliance,</w:t>
      </w:r>
      <w:r w:rsidR="000F254F" w:rsidRPr="0049546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7002E7" w:rsidRPr="00495462">
        <w:rPr>
          <w:rFonts w:asciiTheme="minorHAnsi" w:hAnsiTheme="minorHAnsi" w:cstheme="minorHAnsi"/>
          <w:bCs/>
          <w:sz w:val="22"/>
          <w:szCs w:val="22"/>
        </w:rPr>
        <w:t>Ndigi</w:t>
      </w:r>
      <w:proofErr w:type="spellEnd"/>
      <w:r w:rsidR="007002E7" w:rsidRPr="00495462">
        <w:rPr>
          <w:rFonts w:asciiTheme="minorHAnsi" w:hAnsiTheme="minorHAnsi" w:cstheme="minorHAnsi"/>
          <w:bCs/>
          <w:sz w:val="22"/>
          <w:szCs w:val="22"/>
        </w:rPr>
        <w:t xml:space="preserve"> Greenfields CBO </w:t>
      </w:r>
      <w:r w:rsidR="00691841" w:rsidRPr="00495462">
        <w:rPr>
          <w:rFonts w:asciiTheme="minorHAnsi" w:hAnsiTheme="minorHAnsi" w:cstheme="minorHAnsi"/>
          <w:bCs/>
          <w:sz w:val="22"/>
          <w:szCs w:val="22"/>
        </w:rPr>
        <w:t>is committed to ensure adequate and effective management of correcting failures identified during the audit.</w:t>
      </w:r>
      <w:r w:rsidR="00D7290A" w:rsidRPr="0049546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F254F" w:rsidRPr="00495462">
        <w:rPr>
          <w:rFonts w:asciiTheme="minorHAnsi" w:hAnsiTheme="minorHAnsi" w:cstheme="minorHAnsi"/>
          <w:bCs/>
          <w:sz w:val="22"/>
          <w:szCs w:val="22"/>
        </w:rPr>
        <w:t>They are</w:t>
      </w:r>
      <w:r w:rsidR="00D7290A" w:rsidRPr="00495462">
        <w:rPr>
          <w:rFonts w:asciiTheme="minorHAnsi" w:hAnsiTheme="minorHAnsi" w:cstheme="minorHAnsi"/>
          <w:bCs/>
          <w:sz w:val="22"/>
          <w:szCs w:val="22"/>
        </w:rPr>
        <w:t xml:space="preserve"> committed to having an 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>efficient</w:t>
      </w:r>
      <w:r w:rsidR="00D7290A" w:rsidRPr="00495462">
        <w:rPr>
          <w:rFonts w:asciiTheme="minorHAnsi" w:hAnsiTheme="minorHAnsi" w:cstheme="minorHAnsi"/>
          <w:bCs/>
          <w:sz w:val="22"/>
          <w:szCs w:val="22"/>
        </w:rPr>
        <w:t xml:space="preserve"> system and continuous improvement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 xml:space="preserve"> as </w:t>
      </w:r>
      <w:r w:rsidR="000F254F" w:rsidRPr="00495462">
        <w:rPr>
          <w:rFonts w:asciiTheme="minorHAnsi" w:hAnsiTheme="minorHAnsi" w:cstheme="minorHAnsi"/>
          <w:bCs/>
          <w:sz w:val="22"/>
          <w:szCs w:val="22"/>
        </w:rPr>
        <w:t>they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 xml:space="preserve"> comply </w:t>
      </w:r>
      <w:r w:rsidR="0002063C" w:rsidRPr="00495462">
        <w:rPr>
          <w:rFonts w:asciiTheme="minorHAnsi" w:hAnsiTheme="minorHAnsi" w:cstheme="minorHAnsi"/>
          <w:bCs/>
          <w:sz w:val="22"/>
          <w:szCs w:val="22"/>
        </w:rPr>
        <w:t>with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 xml:space="preserve"> the KS1758 COP</w:t>
      </w:r>
      <w:r w:rsidR="00D7290A" w:rsidRPr="00495462">
        <w:rPr>
          <w:rFonts w:asciiTheme="minorHAnsi" w:hAnsiTheme="minorHAnsi" w:cstheme="minorHAnsi"/>
          <w:bCs/>
          <w:sz w:val="22"/>
          <w:szCs w:val="22"/>
        </w:rPr>
        <w:t xml:space="preserve">. The 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>following are prop</w:t>
      </w:r>
      <w:r w:rsidR="0002063C" w:rsidRPr="00495462">
        <w:rPr>
          <w:rFonts w:asciiTheme="minorHAnsi" w:hAnsiTheme="minorHAnsi" w:cstheme="minorHAnsi"/>
          <w:bCs/>
          <w:sz w:val="22"/>
          <w:szCs w:val="22"/>
        </w:rPr>
        <w:t>o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 xml:space="preserve">sed </w:t>
      </w:r>
      <w:r w:rsidR="0002063C" w:rsidRPr="00495462">
        <w:rPr>
          <w:rFonts w:asciiTheme="minorHAnsi" w:hAnsiTheme="minorHAnsi" w:cstheme="minorHAnsi"/>
          <w:bCs/>
          <w:sz w:val="22"/>
          <w:szCs w:val="22"/>
        </w:rPr>
        <w:t xml:space="preserve">corrective actions for each non-compliance identified. </w:t>
      </w:r>
    </w:p>
    <w:tbl>
      <w:tblPr>
        <w:tblW w:w="1549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0"/>
        <w:gridCol w:w="4253"/>
        <w:gridCol w:w="2481"/>
        <w:gridCol w:w="3607"/>
        <w:gridCol w:w="3607"/>
      </w:tblGrid>
      <w:tr w:rsidR="0006406B" w:rsidRPr="0006406B" w14:paraId="44D604B2" w14:textId="77777777" w:rsidTr="0006406B">
        <w:trPr>
          <w:trHeight w:val="402"/>
        </w:trPr>
        <w:tc>
          <w:tcPr>
            <w:tcW w:w="1550" w:type="dxa"/>
            <w:shd w:val="clear" w:color="auto" w:fill="FFFFFF" w:themeFill="background1"/>
          </w:tcPr>
          <w:p w14:paraId="7C075ECD" w14:textId="77777777" w:rsidR="0006406B" w:rsidRPr="0006406B" w:rsidRDefault="0006406B" w:rsidP="00D87402">
            <w:pPr>
              <w:pStyle w:val="TableParagraph"/>
              <w:spacing w:line="240" w:lineRule="auto"/>
              <w:ind w:left="0" w:right="99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CLAUSE</w:t>
            </w:r>
          </w:p>
        </w:tc>
        <w:tc>
          <w:tcPr>
            <w:tcW w:w="4253" w:type="dxa"/>
            <w:shd w:val="clear" w:color="auto" w:fill="FFFFFF" w:themeFill="background1"/>
          </w:tcPr>
          <w:p w14:paraId="41CCD4EF" w14:textId="7C92B163" w:rsidR="0006406B" w:rsidRPr="0006406B" w:rsidRDefault="0006406B" w:rsidP="00D87402">
            <w:pPr>
              <w:pStyle w:val="TableParagraph"/>
              <w:spacing w:line="240" w:lineRule="auto"/>
              <w:ind w:right="1163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CORRECTIVE ACTION REQUEST</w:t>
            </w:r>
          </w:p>
        </w:tc>
        <w:tc>
          <w:tcPr>
            <w:tcW w:w="2481" w:type="dxa"/>
            <w:shd w:val="clear" w:color="auto" w:fill="FFFFFF" w:themeFill="background1"/>
          </w:tcPr>
          <w:p w14:paraId="6A11B568" w14:textId="74D664B9" w:rsidR="0006406B" w:rsidRPr="0006406B" w:rsidRDefault="0006406B" w:rsidP="00D024B9">
            <w:pPr>
              <w:pStyle w:val="TableParagraph"/>
              <w:spacing w:line="240" w:lineRule="auto"/>
              <w:ind w:right="425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ROOT CAUSE ANALYSIS</w:t>
            </w:r>
          </w:p>
        </w:tc>
        <w:tc>
          <w:tcPr>
            <w:tcW w:w="3607" w:type="dxa"/>
            <w:shd w:val="clear" w:color="auto" w:fill="FFFFFF" w:themeFill="background1"/>
          </w:tcPr>
          <w:p w14:paraId="446935CA" w14:textId="77777777" w:rsidR="0006406B" w:rsidRPr="0006406B" w:rsidRDefault="0006406B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PROPOSED CORRECTIVE ACTION</w:t>
            </w:r>
          </w:p>
        </w:tc>
        <w:tc>
          <w:tcPr>
            <w:tcW w:w="3607" w:type="dxa"/>
            <w:shd w:val="clear" w:color="auto" w:fill="FFFFFF" w:themeFill="background1"/>
          </w:tcPr>
          <w:p w14:paraId="13416C83" w14:textId="55683DF6" w:rsidR="0006406B" w:rsidRPr="0006406B" w:rsidRDefault="0006406B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CORRECTIVE EVIDENCE</w:t>
            </w:r>
          </w:p>
          <w:p w14:paraId="4FECA72B" w14:textId="4723588C" w:rsidR="0006406B" w:rsidRPr="0006406B" w:rsidRDefault="0006406B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06406B" w:rsidRPr="0006406B" w14:paraId="2E6FE072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2096EFFF" w14:textId="688088EA" w:rsidR="007700EC" w:rsidRPr="008E0AFF" w:rsidRDefault="00C94335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0AFF">
              <w:rPr>
                <w:rFonts w:asciiTheme="majorHAnsi" w:hAnsiTheme="majorHAnsi" w:cstheme="majorHAnsi"/>
                <w:bCs/>
                <w:sz w:val="20"/>
                <w:szCs w:val="20"/>
              </w:rPr>
              <w:t>19.1</w:t>
            </w:r>
          </w:p>
          <w:p w14:paraId="05F8CE81" w14:textId="0EAEF1D7" w:rsidR="0006406B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Legal </w:t>
            </w:r>
            <w:r w:rsidR="007700EC" w:rsidRPr="008E0AFF">
              <w:rPr>
                <w:rFonts w:asciiTheme="majorHAnsi" w:hAnsiTheme="majorHAnsi" w:cstheme="majorHAnsi"/>
                <w:bCs/>
                <w:sz w:val="20"/>
                <w:szCs w:val="20"/>
              </w:rPr>
              <w:t>&amp; regulatory requirements</w:t>
            </w:r>
          </w:p>
        </w:tc>
        <w:tc>
          <w:tcPr>
            <w:tcW w:w="4253" w:type="dxa"/>
            <w:shd w:val="clear" w:color="auto" w:fill="FFFFFF" w:themeFill="background1"/>
          </w:tcPr>
          <w:p w14:paraId="3516D559" w14:textId="76F6AE05" w:rsidR="0006406B" w:rsidRPr="0006406B" w:rsidRDefault="00AF0119" w:rsidP="007002E7">
            <w:pPr>
              <w:pStyle w:val="TableParagraph"/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The </w:t>
            </w:r>
            <w:r w:rsidR="00C94335">
              <w:rPr>
                <w:rFonts w:asciiTheme="minorHAnsi" w:hAnsiTheme="minorHAnsi" w:cstheme="minorHAnsi"/>
                <w:bCs/>
              </w:rPr>
              <w:t xml:space="preserve">organization’s county business </w:t>
            </w:r>
            <w:r w:rsidR="00C94335" w:rsidRPr="00C94335">
              <w:rPr>
                <w:rFonts w:asciiTheme="minorHAnsi" w:hAnsiTheme="minorHAnsi" w:cstheme="minorHAnsi"/>
                <w:bCs/>
              </w:rPr>
              <w:t>Licence</w:t>
            </w:r>
            <w:r w:rsidR="00C94335">
              <w:rPr>
                <w:rFonts w:asciiTheme="minorHAnsi" w:hAnsiTheme="minorHAnsi" w:cstheme="minorHAnsi"/>
                <w:bCs/>
              </w:rPr>
              <w:t xml:space="preserve"> had expired on 31.12.2022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480390CC" w14:textId="662675B7" w:rsidR="0006406B" w:rsidRPr="00305199" w:rsidRDefault="008C5BFB" w:rsidP="00B4572D">
            <w:pPr>
              <w:pStyle w:val="TableParagraph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 w:rsidRPr="00305199">
              <w:rPr>
                <w:rFonts w:asciiTheme="minorHAnsi" w:hAnsiTheme="minorHAnsi" w:cstheme="minorHAnsi"/>
                <w:bCs/>
                <w:i/>
              </w:rPr>
              <w:t>The License had been paid for but</w:t>
            </w:r>
            <w:r w:rsidR="00AE6075" w:rsidRPr="00305199">
              <w:rPr>
                <w:rFonts w:asciiTheme="minorHAnsi" w:hAnsiTheme="minorHAnsi" w:cstheme="minorHAnsi"/>
                <w:bCs/>
                <w:i/>
              </w:rPr>
              <w:t xml:space="preserve"> the county government had delayed to issue.</w:t>
            </w: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3C2EDA6A" w14:textId="77777777" w:rsidR="00B4572D" w:rsidRPr="00305199" w:rsidRDefault="00CA3368" w:rsidP="00B4572D">
            <w:pPr>
              <w:pStyle w:val="TableParagraph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 w:rsidRPr="00305199">
              <w:rPr>
                <w:rFonts w:asciiTheme="minorHAnsi" w:hAnsiTheme="minorHAnsi" w:cstheme="minorHAnsi"/>
                <w:bCs/>
                <w:i/>
              </w:rPr>
              <w:t xml:space="preserve">The license was issued as per the evidence. </w:t>
            </w:r>
          </w:p>
          <w:p w14:paraId="4BD6B74D" w14:textId="1910FF7E" w:rsidR="00AE6075" w:rsidRPr="00305199" w:rsidRDefault="00AE6075" w:rsidP="00B4572D">
            <w:pPr>
              <w:pStyle w:val="TableParagraph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 w:rsidRPr="00305199">
              <w:rPr>
                <w:rFonts w:asciiTheme="minorHAnsi" w:hAnsiTheme="minorHAnsi" w:cstheme="minorHAnsi"/>
                <w:bCs/>
                <w:i/>
              </w:rPr>
              <w:t xml:space="preserve">Henceforth, Application for License renewals shall be done </w:t>
            </w:r>
            <w:r w:rsidR="0012134D" w:rsidRPr="00305199">
              <w:rPr>
                <w:rFonts w:asciiTheme="minorHAnsi" w:hAnsiTheme="minorHAnsi" w:cstheme="minorHAnsi"/>
                <w:bCs/>
                <w:i/>
              </w:rPr>
              <w:t>a month</w:t>
            </w:r>
            <w:r w:rsidRPr="00305199">
              <w:rPr>
                <w:rFonts w:asciiTheme="minorHAnsi" w:hAnsiTheme="minorHAnsi" w:cstheme="minorHAnsi"/>
                <w:bCs/>
                <w:i/>
              </w:rPr>
              <w:t xml:space="preserve"> to</w:t>
            </w:r>
            <w:r w:rsidR="0012134D" w:rsidRPr="00305199">
              <w:rPr>
                <w:rFonts w:asciiTheme="minorHAnsi" w:hAnsiTheme="minorHAnsi" w:cstheme="minorHAnsi"/>
                <w:bCs/>
                <w:i/>
              </w:rPr>
              <w:t xml:space="preserve"> expiry date</w:t>
            </w:r>
            <w:r w:rsidR="00B4572D" w:rsidRPr="00305199">
              <w:rPr>
                <w:rFonts w:asciiTheme="minorHAnsi" w:hAnsiTheme="minorHAnsi" w:cstheme="minorHAnsi"/>
                <w:bCs/>
                <w:i/>
              </w:rPr>
              <w:t xml:space="preserve"> to</w:t>
            </w:r>
            <w:r w:rsidRPr="00305199">
              <w:rPr>
                <w:rFonts w:asciiTheme="minorHAnsi" w:hAnsiTheme="minorHAnsi" w:cstheme="minorHAnsi"/>
                <w:bCs/>
                <w:i/>
              </w:rPr>
              <w:t xml:space="preserve"> give an ample time of issuance.</w:t>
            </w:r>
          </w:p>
        </w:tc>
        <w:tc>
          <w:tcPr>
            <w:tcW w:w="3607" w:type="dxa"/>
            <w:shd w:val="clear" w:color="auto" w:fill="FFFFFF" w:themeFill="background1"/>
          </w:tcPr>
          <w:p w14:paraId="0742F2F9" w14:textId="77777777" w:rsidR="0006406B" w:rsidRPr="00CA3368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0AE4155F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1C530366" w14:textId="2611619C" w:rsidR="007700EC" w:rsidRDefault="00C94335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C94335">
              <w:rPr>
                <w:rFonts w:asciiTheme="minorHAnsi" w:hAnsiTheme="minorHAnsi" w:cstheme="minorHAnsi"/>
                <w:bCs/>
              </w:rPr>
              <w:t>10.3</w:t>
            </w:r>
          </w:p>
          <w:p w14:paraId="7A82A3A0" w14:textId="38559D8C" w:rsidR="0006406B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445745">
              <w:rPr>
                <w:rFonts w:asciiTheme="minorHAnsi" w:hAnsiTheme="minorHAnsi" w:cstheme="minorHAnsi"/>
                <w:bCs/>
              </w:rPr>
              <w:t>M</w:t>
            </w:r>
            <w:r w:rsidR="00445745" w:rsidRPr="00445745">
              <w:rPr>
                <w:rFonts w:asciiTheme="minorHAnsi" w:hAnsiTheme="minorHAnsi" w:cstheme="minorHAnsi"/>
                <w:bCs/>
              </w:rPr>
              <w:t>ajor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052832CB" w14:textId="77777777" w:rsidR="0006406B" w:rsidRDefault="00C94335" w:rsidP="007002E7">
            <w:pPr>
              <w:pStyle w:val="Table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The </w:t>
            </w:r>
            <w:r w:rsidRPr="00C94335">
              <w:rPr>
                <w:rFonts w:asciiTheme="minorHAnsi" w:hAnsiTheme="minorHAnsi" w:cstheme="minorHAnsi"/>
                <w:bCs/>
              </w:rPr>
              <w:t xml:space="preserve">Scale ref SF 400 </w:t>
            </w:r>
            <w:r>
              <w:rPr>
                <w:rFonts w:asciiTheme="minorHAnsi" w:hAnsiTheme="minorHAnsi" w:cstheme="minorHAnsi"/>
                <w:bCs/>
              </w:rPr>
              <w:t xml:space="preserve">for weighing powder chemicals was </w:t>
            </w:r>
            <w:r w:rsidRPr="00C94335">
              <w:rPr>
                <w:rFonts w:asciiTheme="minorHAnsi" w:hAnsiTheme="minorHAnsi" w:cstheme="minorHAnsi"/>
                <w:bCs/>
              </w:rPr>
              <w:t>not calibrated</w:t>
            </w:r>
            <w:r w:rsidR="008E0AFF">
              <w:rPr>
                <w:rFonts w:asciiTheme="minorHAnsi" w:hAnsiTheme="minorHAnsi" w:cstheme="minorHAnsi"/>
                <w:bCs/>
              </w:rPr>
              <w:t>.</w:t>
            </w:r>
          </w:p>
          <w:p w14:paraId="00CC1E3A" w14:textId="0A25ABED" w:rsidR="008E0AFF" w:rsidRPr="0006406B" w:rsidRDefault="008E0AFF" w:rsidP="007002E7">
            <w:pPr>
              <w:pStyle w:val="Table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>knapsack Calibration Record –</w:t>
            </w:r>
            <w:r w:rsidR="007002E7">
              <w:rPr>
                <w:rFonts w:asciiTheme="minorHAnsi" w:hAnsiTheme="minorHAnsi" w:cstheme="minorHAnsi"/>
                <w:bCs/>
              </w:rPr>
              <w:t xml:space="preserve"> </w:t>
            </w:r>
            <w:r w:rsidRPr="008E0AFF">
              <w:rPr>
                <w:rFonts w:asciiTheme="minorHAnsi" w:hAnsiTheme="minorHAnsi" w:cstheme="minorHAnsi"/>
                <w:bCs/>
              </w:rPr>
              <w:t>NKJ1+ NKJ2 not available for December 2022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18F3D4A1" w14:textId="77777777" w:rsidR="0012134D" w:rsidRPr="00305199" w:rsidRDefault="0012134D" w:rsidP="0012134D">
            <w:pPr>
              <w:pStyle w:val="TableParagraph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 w:rsidRPr="00305199">
              <w:rPr>
                <w:rFonts w:asciiTheme="minorHAnsi" w:hAnsiTheme="minorHAnsi" w:cstheme="minorHAnsi"/>
                <w:bCs/>
                <w:i/>
              </w:rPr>
              <w:t xml:space="preserve">Pesticide Weighing Scale had not been Calibrated because it was new. </w:t>
            </w:r>
          </w:p>
          <w:p w14:paraId="31B0362B" w14:textId="25A8CDE5" w:rsidR="0006406B" w:rsidRPr="00305199" w:rsidRDefault="008C5BFB" w:rsidP="0012134D">
            <w:pPr>
              <w:pStyle w:val="TableParagraph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 w:rsidRPr="00305199">
              <w:rPr>
                <w:rFonts w:asciiTheme="minorHAnsi" w:hAnsiTheme="minorHAnsi" w:cstheme="minorHAnsi"/>
                <w:bCs/>
                <w:i/>
              </w:rPr>
              <w:t>The two Knapsacks had not been used in the month of December as the two spray</w:t>
            </w:r>
            <w:r w:rsidR="0012134D" w:rsidRPr="00305199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Pr="00305199">
              <w:rPr>
                <w:rFonts w:asciiTheme="minorHAnsi" w:hAnsiTheme="minorHAnsi" w:cstheme="minorHAnsi"/>
                <w:bCs/>
                <w:i/>
              </w:rPr>
              <w:t>men were on leave</w:t>
            </w: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501AD1B5" w14:textId="55385EF8" w:rsidR="0006406B" w:rsidRPr="00305199" w:rsidRDefault="00305199" w:rsidP="00305199">
            <w:pPr>
              <w:pStyle w:val="TableParagraph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t>A policy on Weighing Scale and Knap sack calibra</w:t>
            </w:r>
            <w:r w:rsidR="00F1562E">
              <w:rPr>
                <w:rFonts w:asciiTheme="minorHAnsi" w:hAnsiTheme="minorHAnsi" w:cstheme="minorHAnsi"/>
                <w:bCs/>
                <w:i/>
              </w:rPr>
              <w:t>tion, [REF No. RA 04] h</w:t>
            </w:r>
            <w:r>
              <w:rPr>
                <w:rFonts w:asciiTheme="minorHAnsi" w:hAnsiTheme="minorHAnsi" w:cstheme="minorHAnsi"/>
                <w:bCs/>
                <w:i/>
              </w:rPr>
              <w:t>as</w:t>
            </w:r>
            <w:r w:rsidR="00F1562E">
              <w:rPr>
                <w:rFonts w:asciiTheme="minorHAnsi" w:hAnsiTheme="minorHAnsi" w:cstheme="minorHAnsi"/>
                <w:bCs/>
                <w:i/>
              </w:rPr>
              <w:t xml:space="preserve"> been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 developed as per the evidence </w:t>
            </w:r>
          </w:p>
        </w:tc>
        <w:tc>
          <w:tcPr>
            <w:tcW w:w="3607" w:type="dxa"/>
            <w:shd w:val="clear" w:color="auto" w:fill="FFFFFF" w:themeFill="background1"/>
          </w:tcPr>
          <w:p w14:paraId="2FEBFA0A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52F9E0E8" w14:textId="77777777" w:rsidTr="00BF2688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6322EB85" w14:textId="03DA6708" w:rsidR="007700EC" w:rsidRDefault="00445745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445745">
              <w:rPr>
                <w:rFonts w:asciiTheme="minorHAnsi" w:hAnsiTheme="minorHAnsi" w:cstheme="minorHAnsi"/>
                <w:bCs/>
              </w:rPr>
              <w:t>12.2.1A</w:t>
            </w:r>
          </w:p>
          <w:p w14:paraId="6B1498C7" w14:textId="6AAB7875" w:rsidR="0006406B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445745">
              <w:rPr>
                <w:rFonts w:asciiTheme="minorHAnsi" w:hAnsiTheme="minorHAnsi" w:cstheme="minorHAnsi"/>
                <w:bCs/>
              </w:rPr>
              <w:t>M</w:t>
            </w:r>
            <w:r w:rsidR="00445745" w:rsidRPr="00445745">
              <w:rPr>
                <w:rFonts w:asciiTheme="minorHAnsi" w:hAnsiTheme="minorHAnsi" w:cstheme="minorHAnsi"/>
                <w:bCs/>
              </w:rPr>
              <w:t>ajor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1035FE23" w14:textId="62D2948A" w:rsidR="0006406B" w:rsidRPr="0006406B" w:rsidRDefault="00445745" w:rsidP="00AF0119">
            <w:pPr>
              <w:pStyle w:val="TableParagraph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445745">
              <w:rPr>
                <w:rFonts w:asciiTheme="minorHAnsi" w:hAnsiTheme="minorHAnsi" w:cstheme="minorHAnsi"/>
                <w:bCs/>
              </w:rPr>
              <w:t xml:space="preserve">Beno carp 100SC </w:t>
            </w:r>
            <w:r>
              <w:rPr>
                <w:rFonts w:asciiTheme="minorHAnsi" w:hAnsiTheme="minorHAnsi" w:cstheme="minorHAnsi"/>
                <w:bCs/>
              </w:rPr>
              <w:t xml:space="preserve">found in the chemical store and was I use but is </w:t>
            </w:r>
            <w:r w:rsidRPr="00445745">
              <w:rPr>
                <w:rFonts w:asciiTheme="minorHAnsi" w:hAnsiTheme="minorHAnsi" w:cstheme="minorHAnsi"/>
                <w:bCs/>
              </w:rPr>
              <w:t xml:space="preserve">not </w:t>
            </w:r>
            <w:r w:rsidR="00AF0119">
              <w:rPr>
                <w:rFonts w:asciiTheme="minorHAnsi" w:hAnsiTheme="minorHAnsi" w:cstheme="minorHAnsi"/>
                <w:bCs/>
              </w:rPr>
              <w:t xml:space="preserve">PCPB </w:t>
            </w:r>
            <w:r w:rsidRPr="00445745">
              <w:rPr>
                <w:rFonts w:asciiTheme="minorHAnsi" w:hAnsiTheme="minorHAnsi" w:cstheme="minorHAnsi"/>
                <w:bCs/>
              </w:rPr>
              <w:t>approved for use in the certifiable crops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0263314D" w14:textId="2DB694E4" w:rsidR="0006406B" w:rsidRPr="00BA65F5" w:rsidRDefault="00BA65F5" w:rsidP="00BA65F5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Cs/>
                <w:sz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BA65F5">
              <w:rPr>
                <w:rFonts w:asciiTheme="minorHAnsi" w:hAnsiTheme="minorHAnsi" w:cstheme="minorHAnsi"/>
                <w:bCs/>
                <w:i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ligatures w14:val="standard"/>
              </w:rPr>
              <w:t xml:space="preserve">The </w:t>
            </w:r>
            <w:proofErr w:type="spellStart"/>
            <w:r w:rsidRPr="00BA65F5">
              <w:rPr>
                <w:rFonts w:asciiTheme="minorHAnsi" w:hAnsiTheme="minorHAnsi" w:cstheme="minorHAnsi"/>
                <w:bCs/>
                <w:i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ligatures w14:val="standard"/>
              </w:rPr>
              <w:t>pcpb</w:t>
            </w:r>
            <w:proofErr w:type="spellEnd"/>
            <w:r w:rsidRPr="00BA65F5">
              <w:rPr>
                <w:rFonts w:asciiTheme="minorHAnsi" w:hAnsiTheme="minorHAnsi" w:cstheme="minorHAnsi"/>
                <w:bCs/>
                <w:i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ligatures w14:val="standard"/>
              </w:rPr>
              <w:t xml:space="preserve"> list of approved pesticides had expired at the time of </w:t>
            </w:r>
            <w:proofErr w:type="spellStart"/>
            <w:r w:rsidRPr="00BA65F5">
              <w:rPr>
                <w:rFonts w:asciiTheme="minorHAnsi" w:hAnsiTheme="minorHAnsi" w:cstheme="minorHAnsi"/>
                <w:bCs/>
                <w:i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ligatures w14:val="standard"/>
              </w:rPr>
              <w:t>pppl</w:t>
            </w:r>
            <w:proofErr w:type="spellEnd"/>
            <w:r w:rsidRPr="00BA65F5">
              <w:rPr>
                <w:rFonts w:asciiTheme="minorHAnsi" w:hAnsiTheme="minorHAnsi" w:cstheme="minorHAnsi"/>
                <w:bCs/>
                <w:i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ligatures w14:val="standard"/>
              </w:rPr>
              <w:t xml:space="preserve"> preparation</w:t>
            </w: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32670D5F" w14:textId="2ACEB56D" w:rsidR="0006406B" w:rsidRPr="0006406B" w:rsidRDefault="00BF2688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t xml:space="preserve">The PPPL has been revised at </w:t>
            </w:r>
            <w:r w:rsidRPr="00BF2688">
              <w:rPr>
                <w:rFonts w:asciiTheme="minorHAnsi" w:hAnsiTheme="minorHAnsi" w:cstheme="minorHAnsi"/>
                <w:b/>
                <w:bCs/>
                <w:i/>
              </w:rPr>
              <w:t>BENOCARB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 removed</w:t>
            </w:r>
          </w:p>
        </w:tc>
        <w:tc>
          <w:tcPr>
            <w:tcW w:w="3607" w:type="dxa"/>
            <w:shd w:val="clear" w:color="auto" w:fill="FFFFFF" w:themeFill="background1"/>
          </w:tcPr>
          <w:p w14:paraId="3678CA69" w14:textId="3EE1CC7A" w:rsidR="0006406B" w:rsidRPr="0006406B" w:rsidRDefault="0006406B" w:rsidP="00BA65F5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36758869" w14:textId="77777777" w:rsidTr="00F1562E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63D035B8" w14:textId="0225F18D" w:rsidR="007700EC" w:rsidRDefault="007700EC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7700EC">
              <w:rPr>
                <w:rFonts w:asciiTheme="minorHAnsi" w:hAnsiTheme="minorHAnsi" w:cstheme="minorHAnsi"/>
                <w:bCs/>
              </w:rPr>
              <w:t>12.3.14.4A</w:t>
            </w:r>
          </w:p>
          <w:p w14:paraId="708D46EC" w14:textId="02689B99" w:rsidR="0006406B" w:rsidRPr="0006406B" w:rsidRDefault="007002E7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7700EC">
              <w:rPr>
                <w:rFonts w:asciiTheme="minorHAnsi" w:hAnsiTheme="minorHAnsi" w:cstheme="minorHAnsi"/>
                <w:bCs/>
              </w:rPr>
              <w:t xml:space="preserve">Legal </w:t>
            </w:r>
            <w:r w:rsidR="007700EC" w:rsidRPr="007700EC">
              <w:rPr>
                <w:rFonts w:asciiTheme="minorHAnsi" w:hAnsiTheme="minorHAnsi" w:cstheme="minorHAnsi"/>
                <w:bCs/>
              </w:rPr>
              <w:t>&amp; regulatory requirements</w:t>
            </w:r>
          </w:p>
        </w:tc>
        <w:tc>
          <w:tcPr>
            <w:tcW w:w="4253" w:type="dxa"/>
            <w:shd w:val="clear" w:color="auto" w:fill="FFFFFF" w:themeFill="background1"/>
          </w:tcPr>
          <w:p w14:paraId="76E6B6F4" w14:textId="3EB5E988" w:rsidR="0006406B" w:rsidRPr="0006406B" w:rsidRDefault="007700EC" w:rsidP="007700EC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700EC">
              <w:rPr>
                <w:rFonts w:asciiTheme="minorHAnsi" w:hAnsiTheme="minorHAnsi" w:cstheme="minorHAnsi"/>
                <w:bCs/>
              </w:rPr>
              <w:t>Empty PPP containers were found triple rinsed, not punctured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0C05AC26" w14:textId="7A834304" w:rsidR="0006406B" w:rsidRPr="00BA65F5" w:rsidRDefault="00F1562E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 w:rsidRPr="00BA65F5">
              <w:rPr>
                <w:rFonts w:asciiTheme="minorHAnsi" w:hAnsiTheme="minorHAnsi" w:cstheme="minorHAnsi"/>
                <w:bCs/>
                <w:i/>
              </w:rPr>
              <w:t>The procedure for disposal of Empty PPPs containers  was not in place to guide on the process.</w:t>
            </w: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50A9EADF" w14:textId="47CC0F11" w:rsidR="0006406B" w:rsidRPr="0006406B" w:rsidRDefault="00F1562E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t xml:space="preserve">The procedure has been developed with [Ref. No. </w:t>
            </w:r>
            <w:r w:rsidR="00DF0DCB">
              <w:rPr>
                <w:rFonts w:asciiTheme="minorHAnsi" w:hAnsiTheme="minorHAnsi" w:cstheme="minorHAnsi"/>
                <w:bCs/>
                <w:i/>
              </w:rPr>
              <w:t>034]</w:t>
            </w:r>
            <w:r>
              <w:rPr>
                <w:rFonts w:asciiTheme="minorHAnsi" w:hAnsiTheme="minorHAnsi" w:cstheme="minorHAnsi"/>
                <w:bCs/>
                <w:i/>
              </w:rPr>
              <w:t xml:space="preserve"> as per the evidence</w:t>
            </w:r>
          </w:p>
        </w:tc>
        <w:tc>
          <w:tcPr>
            <w:tcW w:w="3607" w:type="dxa"/>
            <w:shd w:val="clear" w:color="auto" w:fill="FFFFFF" w:themeFill="background1"/>
          </w:tcPr>
          <w:p w14:paraId="21A44847" w14:textId="6C1CD1D1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377118D4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55FEFBF6" w14:textId="718CA258" w:rsidR="0006406B" w:rsidRPr="0006406B" w:rsidRDefault="00EB2781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EB2781">
              <w:rPr>
                <w:rFonts w:asciiTheme="minorHAnsi" w:hAnsiTheme="minorHAnsi" w:cstheme="minorHAnsi"/>
                <w:bCs/>
              </w:rPr>
              <w:t>12.3.10.4A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002E7" w:rsidRPr="00EB2781">
              <w:rPr>
                <w:rFonts w:asciiTheme="minorHAnsi" w:hAnsiTheme="minorHAnsi" w:cstheme="minorHAnsi"/>
                <w:bCs/>
              </w:rPr>
              <w:t>Major</w:t>
            </w:r>
            <w:r w:rsidR="007002E7">
              <w:rPr>
                <w:rFonts w:asciiTheme="minorHAnsi" w:hAnsiTheme="minorHAnsi" w:cstheme="minorHAnsi"/>
                <w:bCs/>
              </w:rPr>
              <w:t xml:space="preserve"> </w:t>
            </w:r>
            <w:r w:rsidR="008E0AFF"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3214E1B6" w14:textId="2220F6BB" w:rsidR="0006406B" w:rsidRPr="0006406B" w:rsidRDefault="00EB2781" w:rsidP="00EB2781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B2781">
              <w:rPr>
                <w:rFonts w:asciiTheme="minorHAnsi" w:hAnsiTheme="minorHAnsi" w:cstheme="minorHAnsi"/>
                <w:bCs/>
              </w:rPr>
              <w:t xml:space="preserve">Spray operator overalls were made of absorbent materials. Operator was exposed during application of liquid Plant Protection </w:t>
            </w:r>
            <w:r w:rsidRPr="00EB2781">
              <w:rPr>
                <w:rFonts w:asciiTheme="minorHAnsi" w:hAnsiTheme="minorHAnsi" w:cstheme="minorHAnsi"/>
                <w:bCs/>
              </w:rPr>
              <w:lastRenderedPageBreak/>
              <w:t>Products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6623D8AF" w14:textId="52218ACC" w:rsidR="0006406B" w:rsidRPr="005D6427" w:rsidRDefault="009011C6" w:rsidP="00597B12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 w:rsidRPr="005D6427">
              <w:rPr>
                <w:rFonts w:asciiTheme="minorHAnsi" w:hAnsiTheme="minorHAnsi" w:cstheme="minorHAnsi"/>
                <w:bCs/>
                <w:i/>
              </w:rPr>
              <w:lastRenderedPageBreak/>
              <w:t>The overa</w:t>
            </w:r>
            <w:r w:rsidR="005D6427">
              <w:rPr>
                <w:rFonts w:asciiTheme="minorHAnsi" w:hAnsiTheme="minorHAnsi" w:cstheme="minorHAnsi"/>
                <w:bCs/>
                <w:i/>
              </w:rPr>
              <w:t>l</w:t>
            </w:r>
            <w:r w:rsidRPr="005D6427">
              <w:rPr>
                <w:rFonts w:asciiTheme="minorHAnsi" w:hAnsiTheme="minorHAnsi" w:cstheme="minorHAnsi"/>
                <w:bCs/>
                <w:i/>
              </w:rPr>
              <w:t>ls were not w</w:t>
            </w:r>
            <w:r w:rsidR="00597B12" w:rsidRPr="005D6427">
              <w:rPr>
                <w:rFonts w:asciiTheme="minorHAnsi" w:hAnsiTheme="minorHAnsi" w:cstheme="minorHAnsi"/>
                <w:bCs/>
                <w:i/>
              </w:rPr>
              <w:t xml:space="preserve">aterproof but the graphene coveralls worn </w:t>
            </w:r>
            <w:r w:rsidR="00597B12" w:rsidRPr="005D6427">
              <w:rPr>
                <w:rFonts w:asciiTheme="minorHAnsi" w:hAnsiTheme="minorHAnsi" w:cstheme="minorHAnsi"/>
                <w:bCs/>
                <w:i/>
              </w:rPr>
              <w:lastRenderedPageBreak/>
              <w:t>on top of the overalls were  waterproof, however, they were short.</w:t>
            </w: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083C9C0D" w14:textId="5ACE1CFB" w:rsidR="0006406B" w:rsidRPr="0006406B" w:rsidRDefault="00597B12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lastRenderedPageBreak/>
              <w:t xml:space="preserve">New waterproof Overalls have been purchased replacing the absorbent ones as per the evidence </w:t>
            </w:r>
          </w:p>
        </w:tc>
        <w:tc>
          <w:tcPr>
            <w:tcW w:w="3607" w:type="dxa"/>
            <w:shd w:val="clear" w:color="auto" w:fill="FFFFFF" w:themeFill="background1"/>
          </w:tcPr>
          <w:p w14:paraId="183B5679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3974B510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2B2A204B" w14:textId="77777777" w:rsidR="007002E7" w:rsidRDefault="00856F19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56F19">
              <w:rPr>
                <w:rFonts w:asciiTheme="minorHAnsi" w:hAnsiTheme="minorHAnsi" w:cstheme="minorHAnsi"/>
                <w:bCs/>
              </w:rPr>
              <w:t>14.1.5A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BE7D368" w14:textId="3B3CEBAD" w:rsidR="0006406B" w:rsidRPr="0006406B" w:rsidRDefault="00856F19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Major</w:t>
            </w:r>
            <w:r w:rsidR="008E0AFF">
              <w:rPr>
                <w:rFonts w:asciiTheme="minorHAnsi" w:hAnsiTheme="minorHAnsi" w:cstheme="minorHAnsi"/>
                <w:bCs/>
              </w:rPr>
              <w:t xml:space="preserve"> </w:t>
            </w:r>
            <w:r w:rsidR="008E0AFF"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57A5EA43" w14:textId="77C4EF91" w:rsidR="0006406B" w:rsidRPr="0006406B" w:rsidRDefault="00856F19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856F19">
              <w:rPr>
                <w:rFonts w:asciiTheme="minorHAnsi" w:hAnsiTheme="minorHAnsi" w:cstheme="minorHAnsi"/>
                <w:bCs/>
              </w:rPr>
              <w:t>Liquid Soap used in handwash was not labelled, no evidence it was food grade, no MSDS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1318EFFF" w14:textId="4B3E02F7" w:rsidR="0006406B" w:rsidRPr="005D6427" w:rsidRDefault="00597B12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 w:rsidRPr="005D6427">
              <w:rPr>
                <w:rFonts w:asciiTheme="minorHAnsi" w:hAnsiTheme="minorHAnsi" w:cstheme="minorHAnsi"/>
                <w:bCs/>
                <w:i/>
              </w:rPr>
              <w:t>Company Procurement is centralized at the Headquarter, therefore soap is purchased in large quantities and supplied to our different CBOs</w:t>
            </w:r>
            <w:r w:rsidR="005D6427" w:rsidRPr="005D6427">
              <w:rPr>
                <w:rFonts w:asciiTheme="minorHAnsi" w:hAnsiTheme="minorHAnsi" w:cstheme="minorHAnsi"/>
                <w:bCs/>
                <w:i/>
              </w:rPr>
              <w:t>. The MSDs File for the soaps is stored there.</w:t>
            </w: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3EBBD371" w14:textId="4FCA15D8" w:rsidR="0006406B" w:rsidRPr="0006406B" w:rsidRDefault="005D6427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t xml:space="preserve">All MSDS Files shall be kept at the </w:t>
            </w:r>
            <w:proofErr w:type="gramStart"/>
            <w:r>
              <w:rPr>
                <w:rFonts w:asciiTheme="minorHAnsi" w:hAnsiTheme="minorHAnsi" w:cstheme="minorHAnsi"/>
                <w:bCs/>
                <w:i/>
              </w:rPr>
              <w:t xml:space="preserve">CBO  </w:t>
            </w:r>
            <w:proofErr w:type="spellStart"/>
            <w:r>
              <w:rPr>
                <w:rFonts w:asciiTheme="minorHAnsi" w:hAnsiTheme="minorHAnsi" w:cstheme="minorHAnsi"/>
                <w:bCs/>
                <w:i/>
              </w:rPr>
              <w:t>centre</w:t>
            </w:r>
            <w:proofErr w:type="spellEnd"/>
            <w:proofErr w:type="gramEnd"/>
            <w:r>
              <w:rPr>
                <w:rFonts w:asciiTheme="minorHAnsi" w:hAnsiTheme="minorHAnsi" w:cstheme="minorHAnsi"/>
                <w:bCs/>
                <w:i/>
              </w:rPr>
              <w:t xml:space="preserve"> office. The MSDS is hereby provided as per the evidence.</w:t>
            </w:r>
          </w:p>
        </w:tc>
        <w:tc>
          <w:tcPr>
            <w:tcW w:w="3607" w:type="dxa"/>
            <w:shd w:val="clear" w:color="auto" w:fill="FFFFFF" w:themeFill="background1"/>
          </w:tcPr>
          <w:p w14:paraId="46AB6CAB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6B5823C9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2C3A614B" w14:textId="77777777" w:rsidR="008E0AFF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>13.0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D52F197" w14:textId="025C4CB6" w:rsidR="0006406B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Major </w:t>
            </w:r>
            <w:r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020B1257" w14:textId="593C4743" w:rsidR="0006406B" w:rsidRPr="0006406B" w:rsidRDefault="008E0AFF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 xml:space="preserve">Individual farmers had been trained in basic food hygiene and harvesting procedures, however there was no evidence that their workers who </w:t>
            </w:r>
            <w:r w:rsidR="007002E7">
              <w:rPr>
                <w:rFonts w:asciiTheme="minorHAnsi" w:hAnsiTheme="minorHAnsi" w:cstheme="minorHAnsi"/>
                <w:bCs/>
              </w:rPr>
              <w:t xml:space="preserve">ALSO </w:t>
            </w:r>
            <w:r w:rsidRPr="008E0AFF">
              <w:rPr>
                <w:rFonts w:asciiTheme="minorHAnsi" w:hAnsiTheme="minorHAnsi" w:cstheme="minorHAnsi"/>
                <w:bCs/>
              </w:rPr>
              <w:t>participate in the harvest operations had been trained.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7DCB36F8" w14:textId="3C51C80B" w:rsidR="0006406B" w:rsidRPr="005D6427" w:rsidRDefault="005D6427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  <w:color w:val="92D050"/>
                <w:highlight w:val="cyan"/>
              </w:rPr>
            </w:pPr>
            <w:r w:rsidRPr="005D6427">
              <w:rPr>
                <w:rFonts w:asciiTheme="minorHAnsi" w:hAnsiTheme="minorHAnsi" w:cstheme="minorHAnsi"/>
                <w:bCs/>
                <w:i/>
              </w:rPr>
              <w:t>The farmer had more than the projected volumes henc</w:t>
            </w:r>
            <w:r>
              <w:rPr>
                <w:rFonts w:asciiTheme="minorHAnsi" w:hAnsiTheme="minorHAnsi" w:cstheme="minorHAnsi"/>
                <w:bCs/>
                <w:i/>
              </w:rPr>
              <w:t>e outsourcing for a few harveste</w:t>
            </w:r>
            <w:r w:rsidRPr="005D6427">
              <w:rPr>
                <w:rFonts w:asciiTheme="minorHAnsi" w:hAnsiTheme="minorHAnsi" w:cstheme="minorHAnsi"/>
                <w:bCs/>
                <w:i/>
              </w:rPr>
              <w:t xml:space="preserve">rs </w:t>
            </w: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7808BE1B" w14:textId="2E90D267" w:rsidR="0006406B" w:rsidRPr="0006406B" w:rsidRDefault="005D6427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t>Hygiene training was done to the workers of farmers as per the evidence Training record</w:t>
            </w:r>
          </w:p>
        </w:tc>
        <w:tc>
          <w:tcPr>
            <w:tcW w:w="3607" w:type="dxa"/>
            <w:shd w:val="clear" w:color="auto" w:fill="FFFFFF" w:themeFill="background1"/>
          </w:tcPr>
          <w:p w14:paraId="027205E0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320704EA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379F6E32" w14:textId="77777777" w:rsid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>5.1.5.A</w:t>
            </w:r>
          </w:p>
          <w:p w14:paraId="2F61C5D1" w14:textId="41560CB4" w:rsidR="008E0AFF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>Legal &amp; regulatory requirements</w:t>
            </w:r>
          </w:p>
        </w:tc>
        <w:tc>
          <w:tcPr>
            <w:tcW w:w="4253" w:type="dxa"/>
            <w:shd w:val="clear" w:color="auto" w:fill="FFFFFF" w:themeFill="background1"/>
          </w:tcPr>
          <w:p w14:paraId="54EEADC7" w14:textId="05AE4BBE" w:rsidR="0006406B" w:rsidRPr="0006406B" w:rsidRDefault="008E0AFF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 xml:space="preserve">Product recall procedure available </w:t>
            </w:r>
            <w:r>
              <w:rPr>
                <w:rFonts w:asciiTheme="minorHAnsi" w:hAnsiTheme="minorHAnsi" w:cstheme="minorHAnsi"/>
                <w:bCs/>
              </w:rPr>
              <w:t xml:space="preserve">but </w:t>
            </w:r>
            <w:r w:rsidRPr="008E0AFF">
              <w:rPr>
                <w:rFonts w:asciiTheme="minorHAnsi" w:hAnsiTheme="minorHAnsi" w:cstheme="minorHAnsi"/>
                <w:bCs/>
              </w:rPr>
              <w:t>mock recall ha</w:t>
            </w:r>
            <w:r>
              <w:rPr>
                <w:rFonts w:asciiTheme="minorHAnsi" w:hAnsiTheme="minorHAnsi" w:cstheme="minorHAnsi"/>
                <w:bCs/>
              </w:rPr>
              <w:t>d</w:t>
            </w:r>
            <w:r w:rsidRPr="008E0AFF">
              <w:rPr>
                <w:rFonts w:asciiTheme="minorHAnsi" w:hAnsiTheme="minorHAnsi" w:cstheme="minorHAnsi"/>
                <w:bCs/>
              </w:rPr>
              <w:t xml:space="preserve"> not been done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638D96BD" w14:textId="0773A621" w:rsidR="0006406B" w:rsidRPr="00566E8C" w:rsidRDefault="00566E8C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  <w:color w:val="92D050"/>
                <w:highlight w:val="cyan"/>
              </w:rPr>
            </w:pPr>
            <w:r w:rsidRPr="00566E8C">
              <w:rPr>
                <w:rFonts w:asciiTheme="minorHAnsi" w:hAnsiTheme="minorHAnsi" w:cstheme="minorHAnsi"/>
                <w:bCs/>
                <w:i/>
              </w:rPr>
              <w:t xml:space="preserve">The mock recall had been done but via a phone call </w:t>
            </w: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49DCBCA2" w14:textId="4BCFD0C1" w:rsidR="0006406B" w:rsidRPr="0006406B" w:rsidRDefault="00566E8C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t>A mock recall has been done via email as per the shared conversation</w:t>
            </w:r>
          </w:p>
        </w:tc>
        <w:tc>
          <w:tcPr>
            <w:tcW w:w="3607" w:type="dxa"/>
            <w:shd w:val="clear" w:color="auto" w:fill="FFFFFF" w:themeFill="background1"/>
          </w:tcPr>
          <w:p w14:paraId="343D62E0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5FFF39FF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5AAC0A79" w14:textId="77777777" w:rsidR="008E0AFF" w:rsidRDefault="008E0AFF" w:rsidP="004D4DF3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>11.1.6B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5254612B" w14:textId="6EA3DD07" w:rsidR="0006406B" w:rsidRPr="0006406B" w:rsidRDefault="008E0AFF" w:rsidP="004D4DF3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Minor Must </w:t>
            </w:r>
          </w:p>
        </w:tc>
        <w:tc>
          <w:tcPr>
            <w:tcW w:w="4253" w:type="dxa"/>
            <w:shd w:val="clear" w:color="auto" w:fill="FFFFFF" w:themeFill="background1"/>
          </w:tcPr>
          <w:p w14:paraId="0BC44FE8" w14:textId="308FC406" w:rsidR="008E0AFF" w:rsidRDefault="008E0AFF" w:rsidP="008E0AFF">
            <w:pPr>
              <w:widowControl/>
              <w:autoSpaceDE/>
              <w:autoSpaceDN/>
              <w:spacing w:after="160" w:line="259" w:lineRule="auto"/>
              <w:contextualSpacing/>
            </w:pPr>
            <w:r w:rsidRPr="008E0AFF">
              <w:rPr>
                <w:rFonts w:asciiTheme="minorHAnsi" w:hAnsiTheme="minorHAnsi" w:cstheme="minorHAnsi"/>
                <w:bCs/>
              </w:rPr>
              <w:t xml:space="preserve">No </w:t>
            </w:r>
            <w:r>
              <w:t>Irrigation records were available for review.</w:t>
            </w:r>
          </w:p>
          <w:p w14:paraId="0A209880" w14:textId="053A4091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1F870CDE" w14:textId="552677E6" w:rsidR="0006406B" w:rsidRPr="00A36213" w:rsidRDefault="00566E8C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  <w:color w:val="92D050"/>
                <w:highlight w:val="cyan"/>
              </w:rPr>
            </w:pPr>
            <w:r w:rsidRPr="00A36213">
              <w:rPr>
                <w:rFonts w:asciiTheme="minorHAnsi" w:hAnsiTheme="minorHAnsi" w:cstheme="minorHAnsi"/>
                <w:bCs/>
                <w:i/>
              </w:rPr>
              <w:t>The company had not developed Irrigation Record for the farmers sin</w:t>
            </w:r>
            <w:r w:rsidR="00A36213">
              <w:rPr>
                <w:rFonts w:asciiTheme="minorHAnsi" w:hAnsiTheme="minorHAnsi" w:cstheme="minorHAnsi"/>
                <w:bCs/>
                <w:i/>
              </w:rPr>
              <w:t>ce farmers</w:t>
            </w:r>
            <w:r w:rsidRPr="00A36213">
              <w:rPr>
                <w:rFonts w:asciiTheme="minorHAnsi" w:hAnsiTheme="minorHAnsi" w:cstheme="minorHAnsi"/>
                <w:bCs/>
                <w:i/>
              </w:rPr>
              <w:t xml:space="preserve"> didn’t have a mechanism of measuring the </w:t>
            </w:r>
            <w:r w:rsidR="00A36213">
              <w:rPr>
                <w:rFonts w:asciiTheme="minorHAnsi" w:hAnsiTheme="minorHAnsi" w:cstheme="minorHAnsi"/>
                <w:bCs/>
                <w:i/>
              </w:rPr>
              <w:t xml:space="preserve">water used </w:t>
            </w: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1B055420" w14:textId="4F2A84EE" w:rsidR="0006406B" w:rsidRPr="0006406B" w:rsidRDefault="00A36213" w:rsidP="00A36213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Cs/>
                <w:i/>
              </w:rPr>
            </w:pPr>
            <w:r>
              <w:rPr>
                <w:rFonts w:asciiTheme="minorHAnsi" w:hAnsiTheme="minorHAnsi" w:cstheme="minorHAnsi"/>
                <w:bCs/>
                <w:i/>
              </w:rPr>
              <w:t xml:space="preserve">Irrigation Record was developed as </w:t>
            </w:r>
            <w:r w:rsidR="00BF2688">
              <w:rPr>
                <w:rFonts w:asciiTheme="minorHAnsi" w:hAnsiTheme="minorHAnsi" w:cstheme="minorHAnsi"/>
                <w:bCs/>
                <w:i/>
              </w:rPr>
              <w:t>attached</w:t>
            </w:r>
          </w:p>
        </w:tc>
        <w:tc>
          <w:tcPr>
            <w:tcW w:w="3607" w:type="dxa"/>
            <w:shd w:val="clear" w:color="auto" w:fill="FFFFFF" w:themeFill="background1"/>
          </w:tcPr>
          <w:p w14:paraId="3679214C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0A7FAC8E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5D60E039" w14:textId="4204F210" w:rsidR="0006406B" w:rsidRPr="0006406B" w:rsidRDefault="0006406B" w:rsidP="00AD5920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14:paraId="6886DCD2" w14:textId="147E07FB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18D256A2" w14:textId="77777777" w:rsidR="0006406B" w:rsidRPr="0012134D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color w:val="92D050"/>
                <w:highlight w:val="cyan"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58523F5F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6655F407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5A1A545C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35084E62" w14:textId="3E2576E0" w:rsidR="0006406B" w:rsidRPr="0006406B" w:rsidRDefault="0006406B" w:rsidP="00AD5920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14:paraId="1AB3C931" w14:textId="52C72D66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7E3A0A21" w14:textId="77777777" w:rsidR="0006406B" w:rsidRPr="0012134D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color w:val="92D050"/>
                <w:highlight w:val="cyan"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13A39013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04DAD497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</w:tbl>
    <w:p w14:paraId="2970B83F" w14:textId="77777777" w:rsidR="00A72E0B" w:rsidRPr="0002063C" w:rsidRDefault="00A72E0B" w:rsidP="0002063C">
      <w:pPr>
        <w:pStyle w:val="BodyText"/>
        <w:rPr>
          <w:rFonts w:ascii="Georgia" w:hAnsi="Georgia"/>
          <w:b/>
        </w:rPr>
      </w:pPr>
    </w:p>
    <w:sectPr w:rsidR="00A72E0B" w:rsidRPr="0002063C" w:rsidSect="00D87402">
      <w:headerReference w:type="default" r:id="rId7"/>
      <w:footerReference w:type="default" r:id="rId8"/>
      <w:pgSz w:w="16840" w:h="11910" w:orient="landscape"/>
      <w:pgMar w:top="680" w:right="1180" w:bottom="520" w:left="980" w:header="720" w:footer="7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53D7B" w14:textId="77777777" w:rsidR="002E2429" w:rsidRDefault="002E2429">
      <w:r>
        <w:separator/>
      </w:r>
    </w:p>
  </w:endnote>
  <w:endnote w:type="continuationSeparator" w:id="0">
    <w:p w14:paraId="218F0703" w14:textId="77777777" w:rsidR="002E2429" w:rsidRDefault="002E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64F9" w14:textId="77777777" w:rsidR="00A72E0B" w:rsidRDefault="00A72E0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81AC4" w14:textId="77777777" w:rsidR="002E2429" w:rsidRDefault="002E2429">
      <w:r>
        <w:separator/>
      </w:r>
    </w:p>
  </w:footnote>
  <w:footnote w:type="continuationSeparator" w:id="0">
    <w:p w14:paraId="569A06D2" w14:textId="77777777" w:rsidR="002E2429" w:rsidRDefault="002E2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8587" w14:textId="77777777" w:rsidR="00A72E0B" w:rsidRDefault="00A72E0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7718"/>
    <w:multiLevelType w:val="hybridMultilevel"/>
    <w:tmpl w:val="61D6D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711FA"/>
    <w:multiLevelType w:val="multilevel"/>
    <w:tmpl w:val="C682156C"/>
    <w:lvl w:ilvl="0">
      <w:start w:val="10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A34F3"/>
    <w:multiLevelType w:val="hybridMultilevel"/>
    <w:tmpl w:val="E7B01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C81"/>
    <w:multiLevelType w:val="hybridMultilevel"/>
    <w:tmpl w:val="62B8C82A"/>
    <w:lvl w:ilvl="0" w:tplc="94423B1E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EEC5D44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ar-SA"/>
      </w:rPr>
    </w:lvl>
    <w:lvl w:ilvl="2" w:tplc="64D243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0461D8C">
      <w:numFmt w:val="bullet"/>
      <w:lvlText w:val="•"/>
      <w:lvlJc w:val="left"/>
      <w:pPr>
        <w:ind w:left="4121" w:hanging="360"/>
      </w:pPr>
      <w:rPr>
        <w:rFonts w:hint="default"/>
        <w:lang w:val="en-US" w:eastAsia="en-US" w:bidi="ar-SA"/>
      </w:rPr>
    </w:lvl>
    <w:lvl w:ilvl="4" w:tplc="F196AC52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5" w:tplc="7B421336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4B3CC082">
      <w:numFmt w:val="bullet"/>
      <w:lvlText w:val="•"/>
      <w:lvlJc w:val="left"/>
      <w:pPr>
        <w:ind w:left="6943" w:hanging="360"/>
      </w:pPr>
      <w:rPr>
        <w:rFonts w:hint="default"/>
        <w:lang w:val="en-US" w:eastAsia="en-US" w:bidi="ar-SA"/>
      </w:rPr>
    </w:lvl>
    <w:lvl w:ilvl="7" w:tplc="E81C2584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  <w:lvl w:ilvl="8" w:tplc="A4303772">
      <w:numFmt w:val="bullet"/>
      <w:lvlText w:val="•"/>
      <w:lvlJc w:val="left"/>
      <w:pPr>
        <w:ind w:left="882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D144DD8"/>
    <w:multiLevelType w:val="hybridMultilevel"/>
    <w:tmpl w:val="1C34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57F3B"/>
    <w:multiLevelType w:val="hybridMultilevel"/>
    <w:tmpl w:val="C31C861C"/>
    <w:lvl w:ilvl="0" w:tplc="453C67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11668EA">
      <w:numFmt w:val="bullet"/>
      <w:lvlText w:val="•"/>
      <w:lvlJc w:val="left"/>
      <w:pPr>
        <w:ind w:left="1617" w:hanging="360"/>
      </w:pPr>
      <w:rPr>
        <w:rFonts w:hint="default"/>
        <w:lang w:val="en-US" w:eastAsia="en-US" w:bidi="ar-SA"/>
      </w:rPr>
    </w:lvl>
    <w:lvl w:ilvl="2" w:tplc="536E0BCE">
      <w:numFmt w:val="bullet"/>
      <w:lvlText w:val="•"/>
      <w:lvlJc w:val="left"/>
      <w:pPr>
        <w:ind w:left="2415" w:hanging="360"/>
      </w:pPr>
      <w:rPr>
        <w:rFonts w:hint="default"/>
        <w:lang w:val="en-US" w:eastAsia="en-US" w:bidi="ar-SA"/>
      </w:rPr>
    </w:lvl>
    <w:lvl w:ilvl="3" w:tplc="2872FE9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4" w:tplc="8BBC0E6C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5" w:tplc="7FFAFDBE">
      <w:numFmt w:val="bullet"/>
      <w:lvlText w:val="•"/>
      <w:lvlJc w:val="left"/>
      <w:pPr>
        <w:ind w:left="4808" w:hanging="360"/>
      </w:pPr>
      <w:rPr>
        <w:rFonts w:hint="default"/>
        <w:lang w:val="en-US" w:eastAsia="en-US" w:bidi="ar-SA"/>
      </w:rPr>
    </w:lvl>
    <w:lvl w:ilvl="6" w:tplc="2EEEE3E0">
      <w:numFmt w:val="bullet"/>
      <w:lvlText w:val="•"/>
      <w:lvlJc w:val="left"/>
      <w:pPr>
        <w:ind w:left="5606" w:hanging="360"/>
      </w:pPr>
      <w:rPr>
        <w:rFonts w:hint="default"/>
        <w:lang w:val="en-US" w:eastAsia="en-US" w:bidi="ar-SA"/>
      </w:rPr>
    </w:lvl>
    <w:lvl w:ilvl="7" w:tplc="A6E2C70A">
      <w:numFmt w:val="bullet"/>
      <w:lvlText w:val="•"/>
      <w:lvlJc w:val="left"/>
      <w:pPr>
        <w:ind w:left="6403" w:hanging="360"/>
      </w:pPr>
      <w:rPr>
        <w:rFonts w:hint="default"/>
        <w:lang w:val="en-US" w:eastAsia="en-US" w:bidi="ar-SA"/>
      </w:rPr>
    </w:lvl>
    <w:lvl w:ilvl="8" w:tplc="620E360E">
      <w:numFmt w:val="bullet"/>
      <w:lvlText w:val="•"/>
      <w:lvlJc w:val="left"/>
      <w:pPr>
        <w:ind w:left="7201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AE606AA"/>
    <w:multiLevelType w:val="multilevel"/>
    <w:tmpl w:val="D3448966"/>
    <w:lvl w:ilvl="0">
      <w:start w:val="16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D26E0"/>
    <w:multiLevelType w:val="hybridMultilevel"/>
    <w:tmpl w:val="C56C6288"/>
    <w:lvl w:ilvl="0" w:tplc="040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8" w15:restartNumberingAfterBreak="0">
    <w:nsid w:val="49A62141"/>
    <w:multiLevelType w:val="hybridMultilevel"/>
    <w:tmpl w:val="D95E8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33BFD"/>
    <w:multiLevelType w:val="multilevel"/>
    <w:tmpl w:val="3BDCC0EA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53316"/>
    <w:multiLevelType w:val="multilevel"/>
    <w:tmpl w:val="307C59EE"/>
    <w:lvl w:ilvl="0">
      <w:start w:val="1"/>
      <w:numFmt w:val="lowerLetter"/>
      <w:lvlText w:val="%1)"/>
      <w:lvlJc w:val="left"/>
      <w:pPr>
        <w:ind w:left="761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81" w:hanging="360"/>
      </w:pPr>
    </w:lvl>
    <w:lvl w:ilvl="2">
      <w:start w:val="1"/>
      <w:numFmt w:val="lowerRoman"/>
      <w:lvlText w:val="%3."/>
      <w:lvlJc w:val="right"/>
      <w:pPr>
        <w:ind w:left="2201" w:hanging="180"/>
      </w:pPr>
    </w:lvl>
    <w:lvl w:ilvl="3">
      <w:start w:val="1"/>
      <w:numFmt w:val="decimal"/>
      <w:lvlText w:val="%4."/>
      <w:lvlJc w:val="left"/>
      <w:pPr>
        <w:ind w:left="2921" w:hanging="360"/>
      </w:pPr>
    </w:lvl>
    <w:lvl w:ilvl="4">
      <w:start w:val="1"/>
      <w:numFmt w:val="lowerLetter"/>
      <w:lvlText w:val="%5."/>
      <w:lvlJc w:val="left"/>
      <w:pPr>
        <w:ind w:left="3641" w:hanging="360"/>
      </w:pPr>
    </w:lvl>
    <w:lvl w:ilvl="5">
      <w:start w:val="1"/>
      <w:numFmt w:val="lowerRoman"/>
      <w:lvlText w:val="%6."/>
      <w:lvlJc w:val="right"/>
      <w:pPr>
        <w:ind w:left="4361" w:hanging="180"/>
      </w:pPr>
    </w:lvl>
    <w:lvl w:ilvl="6">
      <w:start w:val="1"/>
      <w:numFmt w:val="decimal"/>
      <w:lvlText w:val="%7."/>
      <w:lvlJc w:val="left"/>
      <w:pPr>
        <w:ind w:left="5081" w:hanging="360"/>
      </w:pPr>
    </w:lvl>
    <w:lvl w:ilvl="7">
      <w:start w:val="1"/>
      <w:numFmt w:val="lowerLetter"/>
      <w:lvlText w:val="%8."/>
      <w:lvlJc w:val="left"/>
      <w:pPr>
        <w:ind w:left="5801" w:hanging="360"/>
      </w:pPr>
    </w:lvl>
    <w:lvl w:ilvl="8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62407E09"/>
    <w:multiLevelType w:val="hybridMultilevel"/>
    <w:tmpl w:val="668EC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C329E"/>
    <w:multiLevelType w:val="hybridMultilevel"/>
    <w:tmpl w:val="B020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7D4C6A"/>
    <w:multiLevelType w:val="multilevel"/>
    <w:tmpl w:val="8F46DA32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0738961">
    <w:abstractNumId w:val="5"/>
  </w:num>
  <w:num w:numId="2" w16cid:durableId="1224103946">
    <w:abstractNumId w:val="3"/>
  </w:num>
  <w:num w:numId="3" w16cid:durableId="1181237012">
    <w:abstractNumId w:val="1"/>
  </w:num>
  <w:num w:numId="4" w16cid:durableId="565185657">
    <w:abstractNumId w:val="6"/>
  </w:num>
  <w:num w:numId="5" w16cid:durableId="204372645">
    <w:abstractNumId w:val="13"/>
  </w:num>
  <w:num w:numId="6" w16cid:durableId="1909919583">
    <w:abstractNumId w:val="9"/>
  </w:num>
  <w:num w:numId="7" w16cid:durableId="556860013">
    <w:abstractNumId w:val="10"/>
  </w:num>
  <w:num w:numId="8" w16cid:durableId="1574925112">
    <w:abstractNumId w:val="2"/>
  </w:num>
  <w:num w:numId="9" w16cid:durableId="1395394375">
    <w:abstractNumId w:val="8"/>
  </w:num>
  <w:num w:numId="10" w16cid:durableId="1224828255">
    <w:abstractNumId w:val="0"/>
  </w:num>
  <w:num w:numId="11" w16cid:durableId="1285502893">
    <w:abstractNumId w:val="11"/>
  </w:num>
  <w:num w:numId="12" w16cid:durableId="74908329">
    <w:abstractNumId w:val="4"/>
  </w:num>
  <w:num w:numId="13" w16cid:durableId="2017877483">
    <w:abstractNumId w:val="7"/>
  </w:num>
  <w:num w:numId="14" w16cid:durableId="8596641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0B"/>
    <w:rsid w:val="0002063C"/>
    <w:rsid w:val="00022381"/>
    <w:rsid w:val="00026255"/>
    <w:rsid w:val="00054298"/>
    <w:rsid w:val="0006406B"/>
    <w:rsid w:val="00077BEA"/>
    <w:rsid w:val="000930AC"/>
    <w:rsid w:val="000960E6"/>
    <w:rsid w:val="000D0239"/>
    <w:rsid w:val="000E5E5F"/>
    <w:rsid w:val="000E75CB"/>
    <w:rsid w:val="000F254F"/>
    <w:rsid w:val="0012134D"/>
    <w:rsid w:val="001320D9"/>
    <w:rsid w:val="00174FE6"/>
    <w:rsid w:val="00193DB0"/>
    <w:rsid w:val="001A4630"/>
    <w:rsid w:val="001B0742"/>
    <w:rsid w:val="001D1958"/>
    <w:rsid w:val="001E0A66"/>
    <w:rsid w:val="00247FAE"/>
    <w:rsid w:val="0025628A"/>
    <w:rsid w:val="00257FC6"/>
    <w:rsid w:val="002900D6"/>
    <w:rsid w:val="00290588"/>
    <w:rsid w:val="002E2429"/>
    <w:rsid w:val="002E464C"/>
    <w:rsid w:val="00305199"/>
    <w:rsid w:val="00315B8F"/>
    <w:rsid w:val="00322E21"/>
    <w:rsid w:val="00331512"/>
    <w:rsid w:val="00334C85"/>
    <w:rsid w:val="0036426D"/>
    <w:rsid w:val="003749A6"/>
    <w:rsid w:val="003C225E"/>
    <w:rsid w:val="003D5FDA"/>
    <w:rsid w:val="003E4DF9"/>
    <w:rsid w:val="0040481C"/>
    <w:rsid w:val="00430C55"/>
    <w:rsid w:val="00441E4E"/>
    <w:rsid w:val="00445745"/>
    <w:rsid w:val="004470E9"/>
    <w:rsid w:val="004705CE"/>
    <w:rsid w:val="00476D67"/>
    <w:rsid w:val="00480DB6"/>
    <w:rsid w:val="00495462"/>
    <w:rsid w:val="004D4DF3"/>
    <w:rsid w:val="004D7902"/>
    <w:rsid w:val="004E0C84"/>
    <w:rsid w:val="004F4396"/>
    <w:rsid w:val="004F7886"/>
    <w:rsid w:val="00511E88"/>
    <w:rsid w:val="005258C3"/>
    <w:rsid w:val="00566E8C"/>
    <w:rsid w:val="005913F1"/>
    <w:rsid w:val="00597B12"/>
    <w:rsid w:val="005B09FD"/>
    <w:rsid w:val="005C4C07"/>
    <w:rsid w:val="005C5DAD"/>
    <w:rsid w:val="005D5580"/>
    <w:rsid w:val="005D6427"/>
    <w:rsid w:val="00614868"/>
    <w:rsid w:val="00626056"/>
    <w:rsid w:val="00657395"/>
    <w:rsid w:val="00691841"/>
    <w:rsid w:val="006B1CFB"/>
    <w:rsid w:val="006F58AA"/>
    <w:rsid w:val="007002E7"/>
    <w:rsid w:val="007472FE"/>
    <w:rsid w:val="007539EC"/>
    <w:rsid w:val="007700EC"/>
    <w:rsid w:val="00770260"/>
    <w:rsid w:val="007720F1"/>
    <w:rsid w:val="0079030F"/>
    <w:rsid w:val="00793220"/>
    <w:rsid w:val="007B342C"/>
    <w:rsid w:val="007B75C8"/>
    <w:rsid w:val="007C61AC"/>
    <w:rsid w:val="007D3A00"/>
    <w:rsid w:val="007E71F7"/>
    <w:rsid w:val="007F2109"/>
    <w:rsid w:val="00813023"/>
    <w:rsid w:val="00850E1E"/>
    <w:rsid w:val="00856F19"/>
    <w:rsid w:val="00857072"/>
    <w:rsid w:val="00857C7B"/>
    <w:rsid w:val="00861D9B"/>
    <w:rsid w:val="00875319"/>
    <w:rsid w:val="00896DB3"/>
    <w:rsid w:val="008A6612"/>
    <w:rsid w:val="008C5BFB"/>
    <w:rsid w:val="008E0AFF"/>
    <w:rsid w:val="009011C6"/>
    <w:rsid w:val="00906F4B"/>
    <w:rsid w:val="00921249"/>
    <w:rsid w:val="00942567"/>
    <w:rsid w:val="00945BB2"/>
    <w:rsid w:val="00974A78"/>
    <w:rsid w:val="009806F9"/>
    <w:rsid w:val="0098649B"/>
    <w:rsid w:val="009F7FDD"/>
    <w:rsid w:val="00A11C56"/>
    <w:rsid w:val="00A17205"/>
    <w:rsid w:val="00A25687"/>
    <w:rsid w:val="00A36213"/>
    <w:rsid w:val="00A52F26"/>
    <w:rsid w:val="00A53DDF"/>
    <w:rsid w:val="00A645E7"/>
    <w:rsid w:val="00A70F34"/>
    <w:rsid w:val="00A72E0B"/>
    <w:rsid w:val="00A76921"/>
    <w:rsid w:val="00A910AC"/>
    <w:rsid w:val="00AD5920"/>
    <w:rsid w:val="00AE6075"/>
    <w:rsid w:val="00AF0119"/>
    <w:rsid w:val="00B3750A"/>
    <w:rsid w:val="00B4572D"/>
    <w:rsid w:val="00B721A4"/>
    <w:rsid w:val="00B91F4F"/>
    <w:rsid w:val="00B95680"/>
    <w:rsid w:val="00BA3BD8"/>
    <w:rsid w:val="00BA65F5"/>
    <w:rsid w:val="00BC7795"/>
    <w:rsid w:val="00BE36AD"/>
    <w:rsid w:val="00BF2688"/>
    <w:rsid w:val="00C00121"/>
    <w:rsid w:val="00C005AF"/>
    <w:rsid w:val="00C2408E"/>
    <w:rsid w:val="00C34F24"/>
    <w:rsid w:val="00C712C0"/>
    <w:rsid w:val="00C870F7"/>
    <w:rsid w:val="00C923C4"/>
    <w:rsid w:val="00C94335"/>
    <w:rsid w:val="00CA3368"/>
    <w:rsid w:val="00CA37ED"/>
    <w:rsid w:val="00CE03A9"/>
    <w:rsid w:val="00CE60D1"/>
    <w:rsid w:val="00D024B9"/>
    <w:rsid w:val="00D41665"/>
    <w:rsid w:val="00D7290A"/>
    <w:rsid w:val="00D72A41"/>
    <w:rsid w:val="00D75BD0"/>
    <w:rsid w:val="00D87402"/>
    <w:rsid w:val="00DF0DCB"/>
    <w:rsid w:val="00E01996"/>
    <w:rsid w:val="00E2620B"/>
    <w:rsid w:val="00E774F7"/>
    <w:rsid w:val="00E87ADD"/>
    <w:rsid w:val="00E97D9C"/>
    <w:rsid w:val="00EB2781"/>
    <w:rsid w:val="00EC57D0"/>
    <w:rsid w:val="00ED38AE"/>
    <w:rsid w:val="00EE0897"/>
    <w:rsid w:val="00EE35F1"/>
    <w:rsid w:val="00EE6F36"/>
    <w:rsid w:val="00EE7303"/>
    <w:rsid w:val="00EF191F"/>
    <w:rsid w:val="00F012D0"/>
    <w:rsid w:val="00F035FD"/>
    <w:rsid w:val="00F1562E"/>
    <w:rsid w:val="00F4204E"/>
    <w:rsid w:val="00F6631D"/>
    <w:rsid w:val="00F9096C"/>
    <w:rsid w:val="00FB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2C051"/>
  <w15:docId w15:val="{112C2A13-8B96-475C-B445-8E070375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3"/>
      <w:outlineLvl w:val="0"/>
    </w:pPr>
    <w:rPr>
      <w:b/>
      <w:bCs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5C4C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C07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C4C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C0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KFC Silver Recertification Audit</vt:lpstr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KFC Silver Recertification Audit</dc:title>
  <dc:creator>Loise Mwangi</dc:creator>
  <cp:lastModifiedBy>user</cp:lastModifiedBy>
  <cp:revision>2</cp:revision>
  <dcterms:created xsi:type="dcterms:W3CDTF">2023-02-03T09:27:00Z</dcterms:created>
  <dcterms:modified xsi:type="dcterms:W3CDTF">2023-02-03T09:27:00Z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2021-05-26T00:00:00Z</vt:filetime>
  </property>
</Properties>
</file>